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仿宋" w:hAnsi="仿宋" w:cs="仿宋"/>
          <w:b/>
          <w:bCs/>
          <w:color w:val="0000FF"/>
          <w:sz w:val="44"/>
          <w:szCs w:val="44"/>
        </w:rPr>
      </w:pPr>
    </w:p>
    <w:p>
      <w:pPr>
        <w:ind w:firstLine="0" w:firstLineChars="0"/>
        <w:jc w:val="center"/>
        <w:rPr>
          <w:rFonts w:hint="eastAsia" w:ascii="方正小标宋简体" w:hAnsi="方正小标宋简体" w:eastAsia="方正小标宋简体" w:cs="方正小标宋简体"/>
          <w:sz w:val="44"/>
          <w:szCs w:val="44"/>
        </w:rPr>
      </w:pPr>
    </w:p>
    <w:p>
      <w:pPr>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永济沿黄旅游公路改建工程</w:t>
      </w:r>
    </w:p>
    <w:p>
      <w:pPr>
        <w:ind w:firstLine="0" w:firstLineChars="0"/>
        <w:jc w:val="center"/>
        <w:rPr>
          <w:rFonts w:ascii="仿宋" w:hAnsi="仿宋" w:eastAsia="方正小标宋简体" w:cs="仿宋"/>
        </w:rPr>
      </w:pPr>
      <w:r>
        <w:rPr>
          <w:rFonts w:hint="eastAsia" w:ascii="方正小标宋简体" w:hAnsi="方正小标宋简体" w:eastAsia="方正小标宋简体" w:cs="方正小标宋简体"/>
          <w:sz w:val="44"/>
          <w:szCs w:val="44"/>
        </w:rPr>
        <w:t>项目绩效评价报告</w:t>
      </w:r>
    </w:p>
    <w:p>
      <w:pPr>
        <w:ind w:firstLine="640"/>
        <w:rPr>
          <w:rFonts w:ascii="仿宋" w:hAnsi="仿宋" w:cs="仿宋"/>
        </w:rPr>
      </w:pPr>
    </w:p>
    <w:p>
      <w:pPr>
        <w:ind w:firstLine="640"/>
        <w:rPr>
          <w:rFonts w:ascii="仿宋" w:hAnsi="仿宋" w:cs="仿宋"/>
        </w:rPr>
      </w:pPr>
    </w:p>
    <w:p>
      <w:pPr>
        <w:ind w:left="2891" w:hanging="2891" w:hangingChars="400"/>
        <w:jc w:val="center"/>
        <w:rPr>
          <w:rFonts w:ascii="仿宋" w:hAnsi="仿宋" w:cs="仿宋"/>
          <w:b/>
          <w:bCs/>
          <w:sz w:val="72"/>
          <w:szCs w:val="144"/>
        </w:rPr>
      </w:pPr>
    </w:p>
    <w:p>
      <w:pPr>
        <w:pStyle w:val="8"/>
        <w:ind w:firstLine="640"/>
      </w:pPr>
    </w:p>
    <w:p>
      <w:pPr>
        <w:autoSpaceDE w:val="0"/>
        <w:autoSpaceDN w:val="0"/>
        <w:adjustRightInd w:val="0"/>
        <w:ind w:firstLine="0" w:firstLineChars="0"/>
        <w:rPr>
          <w:rFonts w:ascii="仿宋_GB2312" w:hAnsi="仿宋_GB2312" w:eastAsia="仿宋_GB2312" w:cs="仿宋_GB2312"/>
          <w:szCs w:val="32"/>
        </w:rPr>
      </w:pPr>
    </w:p>
    <w:p>
      <w:pPr>
        <w:autoSpaceDE w:val="0"/>
        <w:autoSpaceDN w:val="0"/>
        <w:adjustRightInd w:val="0"/>
        <w:ind w:firstLine="0" w:firstLineChars="0"/>
        <w:rPr>
          <w:rFonts w:ascii="仿宋_GB2312" w:hAnsi="仿宋_GB2312" w:eastAsia="仿宋_GB2312" w:cs="仿宋_GB2312"/>
          <w:szCs w:val="32"/>
        </w:rPr>
      </w:pPr>
    </w:p>
    <w:p>
      <w:pPr>
        <w:widowControl/>
        <w:ind w:firstLine="640"/>
        <w:rPr>
          <w:rFonts w:hint="eastAsia" w:ascii="仿宋_GB2312" w:hAnsi="仿宋_GB2312" w:eastAsia="仿宋_GB2312" w:cs="仿宋_GB2312"/>
          <w:szCs w:val="32"/>
        </w:rPr>
      </w:pPr>
    </w:p>
    <w:p>
      <w:pPr>
        <w:widowControl/>
        <w:ind w:left="0" w:leftChars="0" w:firstLine="0" w:firstLineChars="0"/>
        <w:rPr>
          <w:rFonts w:hint="eastAsia" w:ascii="仿宋_GB2312" w:hAnsi="仿宋_GB2312" w:eastAsia="仿宋_GB2312" w:cs="仿宋_GB2312"/>
          <w:szCs w:val="32"/>
        </w:rPr>
      </w:pPr>
    </w:p>
    <w:p>
      <w:pPr>
        <w:widowControl/>
        <w:ind w:firstLine="640"/>
        <w:rPr>
          <w:rFonts w:ascii="仿宋_GB2312" w:hAnsi="仿宋_GB2312" w:eastAsia="仿宋_GB2312" w:cs="仿宋_GB2312"/>
          <w:szCs w:val="32"/>
        </w:rPr>
      </w:pPr>
      <w:r>
        <w:rPr>
          <w:rFonts w:hint="eastAsia" w:ascii="仿宋_GB2312" w:hAnsi="仿宋_GB2312" w:eastAsia="仿宋_GB2312" w:cs="仿宋_GB2312"/>
          <w:szCs w:val="32"/>
        </w:rPr>
        <w:t>实施单位：永济市交通运输局</w:t>
      </w:r>
    </w:p>
    <w:p>
      <w:pPr>
        <w:autoSpaceDE w:val="0"/>
        <w:autoSpaceDN w:val="0"/>
        <w:adjustRightInd w:val="0"/>
        <w:ind w:firstLine="640"/>
        <w:rPr>
          <w:rFonts w:ascii="仿宋_GB2312" w:hAnsi="仿宋_GB2312" w:eastAsia="仿宋_GB2312" w:cs="仿宋_GB2312"/>
          <w:szCs w:val="32"/>
        </w:rPr>
      </w:pPr>
      <w:r>
        <w:rPr>
          <w:rFonts w:hint="eastAsia" w:ascii="仿宋_GB2312" w:hAnsi="仿宋_GB2312" w:eastAsia="仿宋_GB2312" w:cs="仿宋_GB2312"/>
          <w:szCs w:val="32"/>
        </w:rPr>
        <w:t>委托单位：永济市财政局</w:t>
      </w:r>
    </w:p>
    <w:p>
      <w:pPr>
        <w:autoSpaceDE w:val="0"/>
        <w:autoSpaceDN w:val="0"/>
        <w:adjustRightInd w:val="0"/>
        <w:ind w:firstLine="640"/>
        <w:rPr>
          <w:rFonts w:ascii="仿宋_GB2312" w:hAnsi="仿宋_GB2312" w:eastAsia="仿宋_GB2312" w:cs="仿宋_GB2312"/>
          <w:szCs w:val="32"/>
        </w:rPr>
      </w:pPr>
      <w:r>
        <w:rPr>
          <w:rFonts w:hint="eastAsia" w:ascii="仿宋_GB2312" w:hAnsi="仿宋_GB2312" w:eastAsia="仿宋_GB2312" w:cs="仿宋_GB2312"/>
          <w:szCs w:val="32"/>
        </w:rPr>
        <w:t>评价机构：山西同仁会计师事务所（有限公司）</w:t>
      </w:r>
    </w:p>
    <w:p>
      <w:pPr>
        <w:ind w:left="420" w:firstLine="562"/>
        <w:rPr>
          <w:rFonts w:ascii="仿宋" w:hAnsi="仿宋" w:cs="仿宋"/>
          <w:b/>
          <w:bCs/>
          <w:sz w:val="28"/>
          <w:szCs w:val="36"/>
        </w:rPr>
      </w:pPr>
    </w:p>
    <w:p>
      <w:pPr>
        <w:ind w:firstLine="3520" w:firstLineChars="1100"/>
        <w:jc w:val="both"/>
        <w:rPr>
          <w:rFonts w:ascii="仿宋_GB2312" w:hAnsi="仿宋_GB2312" w:eastAsia="仿宋_GB2312" w:cs="仿宋_GB2312"/>
          <w:szCs w:val="32"/>
        </w:rPr>
      </w:pPr>
      <w:r>
        <w:rPr>
          <w:rFonts w:hint="eastAsia" w:ascii="仿宋_GB2312" w:hAnsi="仿宋_GB2312" w:eastAsia="仿宋_GB2312" w:cs="仿宋_GB2312"/>
          <w:szCs w:val="32"/>
        </w:rPr>
        <w:t>二〇二二年十一月</w:t>
      </w:r>
    </w:p>
    <w:p>
      <w:pPr>
        <w:ind w:firstLine="0" w:firstLineChars="0"/>
        <w:jc w:val="center"/>
        <w:rPr>
          <w:rFonts w:ascii="仿宋_GB2312" w:hAnsi="仿宋_GB2312" w:eastAsia="仿宋_GB2312" w:cs="仿宋_GB2312"/>
          <w:b/>
          <w:bCs/>
          <w:sz w:val="36"/>
          <w:szCs w:val="36"/>
        </w:rPr>
      </w:pPr>
    </w:p>
    <w:p>
      <w:pPr>
        <w:pStyle w:val="8"/>
        <w:ind w:firstLine="640"/>
        <w:sectPr>
          <w:headerReference r:id="rId7" w:type="first"/>
          <w:footerReference r:id="rId10" w:type="first"/>
          <w:headerReference r:id="rId5" w:type="default"/>
          <w:footerReference r:id="rId8" w:type="default"/>
          <w:headerReference r:id="rId6" w:type="even"/>
          <w:footerReference r:id="rId9" w:type="even"/>
          <w:pgSz w:w="11906" w:h="16838"/>
          <w:pgMar w:top="2041" w:right="1417" w:bottom="1417" w:left="1531" w:header="851" w:footer="992" w:gutter="0"/>
          <w:pgNumType w:start="1"/>
          <w:cols w:space="720" w:num="1"/>
          <w:docGrid w:type="lines" w:linePitch="312" w:charSpace="0"/>
        </w:sect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240" w:lineRule="auto"/>
        <w:ind w:firstLine="0" w:firstLineChars="0"/>
        <w:jc w:val="center"/>
        <w:rPr>
          <w:rFonts w:ascii="宋体" w:hAnsi="宋体" w:eastAsia="宋体"/>
          <w:sz w:val="21"/>
        </w:rPr>
      </w:pPr>
      <w:bookmarkStart w:id="0" w:name="_Toc23957"/>
      <w:bookmarkStart w:id="1" w:name="_Toc6620"/>
    </w:p>
    <w:p>
      <w:pPr>
        <w:spacing w:line="240" w:lineRule="auto"/>
        <w:ind w:firstLine="0" w:firstLineChars="0"/>
        <w:jc w:val="center"/>
        <w:rPr>
          <w:rFonts w:ascii="仿宋" w:hAnsi="仿宋" w:cs="仿宋"/>
          <w:szCs w:val="32"/>
        </w:rPr>
        <w:sectPr>
          <w:headerReference r:id="rId11" w:type="default"/>
          <w:footerReference r:id="rId12" w:type="default"/>
          <w:pgSz w:w="11906" w:h="16838"/>
          <w:pgMar w:top="2041" w:right="1417" w:bottom="1417" w:left="1531" w:header="1417" w:footer="992" w:gutter="0"/>
          <w:pgNumType w:start="1"/>
          <w:cols w:space="720" w:num="1"/>
          <w:docGrid w:type="lines" w:linePitch="312" w:charSpace="0"/>
        </w:sectPr>
      </w:pPr>
    </w:p>
    <w:sdt>
      <w:sdtPr>
        <w:rPr>
          <w:rFonts w:hint="eastAsia" w:ascii="仿宋" w:hAnsi="仿宋" w:cs="仿宋"/>
          <w:b/>
          <w:bCs/>
          <w:sz w:val="36"/>
          <w:szCs w:val="36"/>
        </w:rPr>
        <w:id w:val="147462303"/>
        <w:docPartObj>
          <w:docPartGallery w:val="Table of Contents"/>
          <w:docPartUnique/>
        </w:docPartObj>
      </w:sdtPr>
      <w:sdtEndPr>
        <w:rPr>
          <w:rFonts w:hint="eastAsia" w:ascii="仿宋" w:hAnsi="仿宋" w:cs="仿宋"/>
          <w:b/>
          <w:bCs/>
          <w:sz w:val="32"/>
          <w:szCs w:val="32"/>
        </w:rPr>
      </w:sdtEndPr>
      <w:sdtContent>
        <w:p>
          <w:pPr>
            <w:spacing w:line="240" w:lineRule="auto"/>
            <w:ind w:firstLine="0" w:firstLineChars="0"/>
            <w:jc w:val="center"/>
            <w:rPr>
              <w:rFonts w:ascii="仿宋" w:hAnsi="仿宋" w:cs="仿宋"/>
              <w:b/>
              <w:bCs/>
              <w:sz w:val="36"/>
              <w:szCs w:val="36"/>
            </w:rPr>
          </w:pPr>
          <w:r>
            <w:rPr>
              <w:rFonts w:hint="eastAsia" w:ascii="仿宋" w:hAnsi="仿宋" w:cs="仿宋"/>
              <w:b/>
              <w:bCs/>
              <w:sz w:val="36"/>
              <w:szCs w:val="36"/>
            </w:rPr>
            <w:t>目  录</w:t>
          </w:r>
        </w:p>
        <w:p>
          <w:pPr>
            <w:pStyle w:val="21"/>
            <w:tabs>
              <w:tab w:val="right" w:leader="dot" w:pos="8958"/>
            </w:tabs>
            <w:spacing w:line="400" w:lineRule="exact"/>
            <w:rPr>
              <w:rFonts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TOC \o "1-2" \h \u </w:instrText>
          </w:r>
          <w:r>
            <w:rPr>
              <w:rFonts w:hint="eastAsia" w:ascii="仿宋" w:hAnsi="仿宋" w:eastAsia="仿宋" w:cs="仿宋"/>
              <w:sz w:val="30"/>
              <w:szCs w:val="30"/>
            </w:rPr>
            <w:fldChar w:fldCharType="separate"/>
          </w:r>
          <w:r>
            <w:fldChar w:fldCharType="begin"/>
          </w:r>
          <w:r>
            <w:instrText xml:space="preserve"> HYPERLINK \l "_Toc18859" </w:instrText>
          </w:r>
          <w:r>
            <w:fldChar w:fldCharType="separate"/>
          </w:r>
          <w:r>
            <w:rPr>
              <w:rFonts w:hint="eastAsia" w:ascii="仿宋" w:hAnsi="仿宋" w:eastAsia="仿宋" w:cs="仿宋"/>
              <w:sz w:val="30"/>
              <w:szCs w:val="30"/>
            </w:rPr>
            <w:t>绩效评价报告摘要</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_Toc18859 \h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1"/>
            <w:tabs>
              <w:tab w:val="right" w:leader="dot" w:pos="8958"/>
            </w:tabs>
            <w:spacing w:line="400" w:lineRule="exact"/>
            <w:rPr>
              <w:rFonts w:ascii="仿宋" w:hAnsi="仿宋" w:eastAsia="仿宋" w:cs="仿宋"/>
              <w:sz w:val="30"/>
              <w:szCs w:val="30"/>
            </w:rPr>
          </w:pPr>
          <w:r>
            <w:fldChar w:fldCharType="begin"/>
          </w:r>
          <w:r>
            <w:instrText xml:space="preserve"> HYPERLINK \l "_Toc27751" </w:instrText>
          </w:r>
          <w:r>
            <w:fldChar w:fldCharType="separate"/>
          </w:r>
          <w:r>
            <w:rPr>
              <w:rFonts w:hint="eastAsia" w:ascii="仿宋" w:hAnsi="仿宋" w:eastAsia="仿宋" w:cs="仿宋"/>
              <w:sz w:val="30"/>
              <w:szCs w:val="30"/>
            </w:rPr>
            <w:t>绩效评价报告正文</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_Toc27751 \h </w:instrText>
          </w:r>
          <w:r>
            <w:rPr>
              <w:rFonts w:hint="eastAsia" w:ascii="仿宋" w:hAnsi="仿宋" w:eastAsia="仿宋" w:cs="仿宋"/>
              <w:sz w:val="30"/>
              <w:szCs w:val="30"/>
            </w:rPr>
            <w:fldChar w:fldCharType="separate"/>
          </w:r>
          <w:r>
            <w:rPr>
              <w:rFonts w:hint="eastAsia" w:ascii="仿宋" w:hAnsi="仿宋" w:eastAsia="仿宋" w:cs="仿宋"/>
              <w:sz w:val="30"/>
              <w:szCs w:val="30"/>
            </w:rPr>
            <w:t>13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0" w:leftChars="0"/>
            <w:rPr>
              <w:rFonts w:ascii="仿宋" w:hAnsi="仿宋" w:eastAsia="仿宋" w:cs="仿宋"/>
              <w:sz w:val="30"/>
              <w:szCs w:val="30"/>
            </w:rPr>
          </w:pPr>
          <w:r>
            <w:fldChar w:fldCharType="begin"/>
          </w:r>
          <w:r>
            <w:instrText xml:space="preserve"> HYPERLINK \l "_Toc13008" </w:instrText>
          </w:r>
          <w:r>
            <w:fldChar w:fldCharType="separate"/>
          </w:r>
          <w:r>
            <w:rPr>
              <w:rFonts w:hint="eastAsia" w:ascii="仿宋" w:hAnsi="仿宋" w:eastAsia="仿宋" w:cs="仿宋"/>
              <w:sz w:val="30"/>
              <w:szCs w:val="30"/>
            </w:rPr>
            <w:t>一、项目概况</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_Toc13008 \h </w:instrText>
          </w:r>
          <w:r>
            <w:rPr>
              <w:rFonts w:hint="eastAsia" w:ascii="仿宋" w:hAnsi="仿宋" w:eastAsia="仿宋" w:cs="仿宋"/>
              <w:sz w:val="30"/>
              <w:szCs w:val="30"/>
            </w:rPr>
            <w:fldChar w:fldCharType="separate"/>
          </w:r>
          <w:r>
            <w:rPr>
              <w:rFonts w:hint="eastAsia" w:ascii="仿宋" w:hAnsi="仿宋" w:eastAsia="仿宋" w:cs="仿宋"/>
              <w:sz w:val="30"/>
              <w:szCs w:val="30"/>
            </w:rPr>
            <w:t>13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"_Toc8474" </w:instrText>
          </w:r>
          <w:r>
            <w:fldChar w:fldCharType="separate"/>
          </w:r>
          <w:r>
            <w:rPr>
              <w:rFonts w:hint="eastAsia" w:ascii="仿宋" w:hAnsi="仿宋" w:eastAsia="仿宋" w:cs="仿宋"/>
              <w:sz w:val="30"/>
              <w:szCs w:val="30"/>
            </w:rPr>
            <w:t>（一）项目立项背景及依据</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_Toc8474 \h </w:instrText>
          </w:r>
          <w:r>
            <w:rPr>
              <w:rFonts w:hint="eastAsia" w:ascii="仿宋" w:hAnsi="仿宋" w:eastAsia="仿宋" w:cs="仿宋"/>
              <w:sz w:val="30"/>
              <w:szCs w:val="30"/>
            </w:rPr>
            <w:fldChar w:fldCharType="separate"/>
          </w:r>
          <w:r>
            <w:rPr>
              <w:rFonts w:hint="eastAsia" w:ascii="仿宋" w:hAnsi="仿宋" w:eastAsia="仿宋" w:cs="仿宋"/>
              <w:sz w:val="30"/>
              <w:szCs w:val="30"/>
            </w:rPr>
            <w:t>13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"_Toc12696" </w:instrText>
          </w:r>
          <w:r>
            <w:fldChar w:fldCharType="separate"/>
          </w:r>
          <w:r>
            <w:rPr>
              <w:rFonts w:hint="eastAsia" w:ascii="仿宋" w:hAnsi="仿宋" w:eastAsia="仿宋" w:cs="仿宋"/>
              <w:sz w:val="30"/>
              <w:szCs w:val="30"/>
            </w:rPr>
            <w:t>（二）项目资金到位及使用情况</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_Toc12696 \h </w:instrText>
          </w:r>
          <w:r>
            <w:rPr>
              <w:rFonts w:hint="eastAsia" w:ascii="仿宋" w:hAnsi="仿宋" w:eastAsia="仿宋" w:cs="仿宋"/>
              <w:sz w:val="30"/>
              <w:szCs w:val="30"/>
            </w:rPr>
            <w:fldChar w:fldCharType="separate"/>
          </w:r>
          <w:r>
            <w:rPr>
              <w:rFonts w:hint="eastAsia" w:ascii="仿宋" w:hAnsi="仿宋" w:eastAsia="仿宋" w:cs="仿宋"/>
              <w:sz w:val="30"/>
              <w:szCs w:val="30"/>
            </w:rPr>
            <w:t>17</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"_Toc20032" </w:instrText>
          </w:r>
          <w:r>
            <w:fldChar w:fldCharType="separate"/>
          </w:r>
          <w:r>
            <w:rPr>
              <w:rFonts w:hint="eastAsia" w:ascii="仿宋" w:hAnsi="仿宋" w:eastAsia="仿宋" w:cs="仿宋"/>
              <w:sz w:val="30"/>
              <w:szCs w:val="30"/>
            </w:rPr>
            <w:t>（三）项目绩效目标</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_Toc20032 \h </w:instrText>
          </w:r>
          <w:r>
            <w:rPr>
              <w:rFonts w:hint="eastAsia" w:ascii="仿宋" w:hAnsi="仿宋" w:eastAsia="仿宋" w:cs="仿宋"/>
              <w:sz w:val="30"/>
              <w:szCs w:val="30"/>
            </w:rPr>
            <w:fldChar w:fldCharType="separate"/>
          </w:r>
          <w:r>
            <w:rPr>
              <w:rFonts w:hint="eastAsia" w:ascii="仿宋" w:hAnsi="仿宋" w:eastAsia="仿宋" w:cs="仿宋"/>
              <w:sz w:val="30"/>
              <w:szCs w:val="30"/>
            </w:rPr>
            <w:t>20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"_Toc11603" </w:instrText>
          </w:r>
          <w:r>
            <w:fldChar w:fldCharType="separate"/>
          </w:r>
          <w:r>
            <w:rPr>
              <w:rFonts w:hint="eastAsia" w:ascii="仿宋" w:hAnsi="仿宋" w:eastAsia="仿宋" w:cs="仿宋"/>
              <w:sz w:val="30"/>
              <w:szCs w:val="30"/>
            </w:rPr>
            <w:t>（四）项目组织及管理</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_Toc11603 \h </w:instrText>
          </w:r>
          <w:r>
            <w:rPr>
              <w:rFonts w:hint="eastAsia" w:ascii="仿宋" w:hAnsi="仿宋" w:eastAsia="仿宋" w:cs="仿宋"/>
              <w:sz w:val="30"/>
              <w:szCs w:val="30"/>
            </w:rPr>
            <w:fldChar w:fldCharType="separate"/>
          </w:r>
          <w:r>
            <w:rPr>
              <w:rFonts w:hint="eastAsia" w:ascii="仿宋" w:hAnsi="仿宋" w:eastAsia="仿宋" w:cs="仿宋"/>
              <w:sz w:val="30"/>
              <w:szCs w:val="30"/>
            </w:rPr>
            <w:t>22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"_Toc21157" </w:instrText>
          </w:r>
          <w:r>
            <w:fldChar w:fldCharType="separate"/>
          </w:r>
          <w:r>
            <w:rPr>
              <w:rFonts w:hint="eastAsia" w:ascii="仿宋" w:hAnsi="仿宋" w:eastAsia="仿宋" w:cs="仿宋"/>
              <w:sz w:val="30"/>
              <w:szCs w:val="30"/>
            </w:rPr>
            <w:t>（五）利益相关方</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_Toc21157 \h </w:instrText>
          </w:r>
          <w:r>
            <w:rPr>
              <w:rFonts w:hint="eastAsia" w:ascii="仿宋" w:hAnsi="仿宋" w:eastAsia="仿宋" w:cs="仿宋"/>
              <w:sz w:val="30"/>
              <w:szCs w:val="30"/>
            </w:rPr>
            <w:fldChar w:fldCharType="separate"/>
          </w:r>
          <w:r>
            <w:rPr>
              <w:rFonts w:hint="eastAsia" w:ascii="仿宋" w:hAnsi="仿宋" w:eastAsia="仿宋" w:cs="仿宋"/>
              <w:sz w:val="30"/>
              <w:szCs w:val="30"/>
            </w:rPr>
            <w:t>22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0" w:leftChars="0"/>
            <w:rPr>
              <w:rFonts w:ascii="仿宋" w:hAnsi="仿宋" w:eastAsia="仿宋" w:cs="仿宋"/>
              <w:sz w:val="30"/>
              <w:szCs w:val="30"/>
            </w:rPr>
          </w:pPr>
          <w:r>
            <w:fldChar w:fldCharType="begin"/>
          </w:r>
          <w:r>
            <w:instrText xml:space="preserve"> HYPERLINK \l "_Toc13826" </w:instrText>
          </w:r>
          <w:r>
            <w:fldChar w:fldCharType="separate"/>
          </w:r>
          <w:r>
            <w:rPr>
              <w:rFonts w:hint="eastAsia" w:ascii="仿宋" w:hAnsi="仿宋" w:eastAsia="仿宋" w:cs="仿宋"/>
              <w:sz w:val="30"/>
              <w:szCs w:val="30"/>
            </w:rPr>
            <w:t>二、绩效评价工作情况</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_Toc13826 \h </w:instrText>
          </w:r>
          <w:r>
            <w:rPr>
              <w:rFonts w:hint="eastAsia" w:ascii="仿宋" w:hAnsi="仿宋" w:eastAsia="仿宋" w:cs="仿宋"/>
              <w:sz w:val="30"/>
              <w:szCs w:val="30"/>
            </w:rPr>
            <w:fldChar w:fldCharType="separate"/>
          </w:r>
          <w:r>
            <w:rPr>
              <w:rFonts w:hint="eastAsia" w:ascii="仿宋" w:hAnsi="仿宋" w:eastAsia="仿宋" w:cs="仿宋"/>
              <w:sz w:val="30"/>
              <w:szCs w:val="30"/>
            </w:rPr>
            <w:t>23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"_Toc293" </w:instrText>
          </w:r>
          <w:r>
            <w:fldChar w:fldCharType="separate"/>
          </w:r>
          <w:r>
            <w:rPr>
              <w:rFonts w:hint="eastAsia" w:ascii="仿宋" w:hAnsi="仿宋" w:eastAsia="仿宋" w:cs="仿宋"/>
              <w:sz w:val="30"/>
              <w:szCs w:val="30"/>
            </w:rPr>
            <w:t>（一）绩效评价目的、对象及范围</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_Toc293 \h </w:instrText>
          </w:r>
          <w:r>
            <w:rPr>
              <w:rFonts w:hint="eastAsia" w:ascii="仿宋" w:hAnsi="仿宋" w:eastAsia="仿宋" w:cs="仿宋"/>
              <w:sz w:val="30"/>
              <w:szCs w:val="30"/>
            </w:rPr>
            <w:fldChar w:fldCharType="separate"/>
          </w:r>
          <w:r>
            <w:rPr>
              <w:rFonts w:hint="eastAsia" w:ascii="仿宋" w:hAnsi="仿宋" w:eastAsia="仿宋" w:cs="仿宋"/>
              <w:sz w:val="30"/>
              <w:szCs w:val="30"/>
            </w:rPr>
            <w:t>23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"_Toc12926" </w:instrText>
          </w:r>
          <w:r>
            <w:fldChar w:fldCharType="separate"/>
          </w:r>
          <w:r>
            <w:rPr>
              <w:rFonts w:hint="eastAsia" w:ascii="仿宋" w:hAnsi="仿宋" w:eastAsia="仿宋" w:cs="仿宋"/>
              <w:sz w:val="30"/>
              <w:szCs w:val="30"/>
            </w:rPr>
            <w:t>（二）绩效评价原则及方法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_Toc12926 \h </w:instrText>
          </w:r>
          <w:r>
            <w:rPr>
              <w:rFonts w:hint="eastAsia" w:ascii="仿宋" w:hAnsi="仿宋" w:eastAsia="仿宋" w:cs="仿宋"/>
              <w:sz w:val="30"/>
              <w:szCs w:val="30"/>
            </w:rPr>
            <w:fldChar w:fldCharType="separate"/>
          </w:r>
          <w:r>
            <w:rPr>
              <w:rFonts w:hint="eastAsia" w:ascii="仿宋" w:hAnsi="仿宋" w:eastAsia="仿宋" w:cs="仿宋"/>
              <w:sz w:val="30"/>
              <w:szCs w:val="30"/>
            </w:rPr>
            <w:t>24</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"_Toc20187" </w:instrText>
          </w:r>
          <w:r>
            <w:fldChar w:fldCharType="separate"/>
          </w:r>
          <w:r>
            <w:rPr>
              <w:rFonts w:hint="eastAsia" w:ascii="仿宋" w:hAnsi="仿宋" w:eastAsia="仿宋" w:cs="仿宋"/>
              <w:sz w:val="30"/>
              <w:szCs w:val="30"/>
            </w:rPr>
            <w:t>（三）绩效评价基准日</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_Toc20187 \h </w:instrText>
          </w:r>
          <w:r>
            <w:rPr>
              <w:rFonts w:hint="eastAsia" w:ascii="仿宋" w:hAnsi="仿宋" w:eastAsia="仿宋" w:cs="仿宋"/>
              <w:sz w:val="30"/>
              <w:szCs w:val="30"/>
            </w:rPr>
            <w:fldChar w:fldCharType="separate"/>
          </w:r>
          <w:r>
            <w:rPr>
              <w:rFonts w:hint="eastAsia" w:ascii="仿宋" w:hAnsi="仿宋" w:eastAsia="仿宋" w:cs="仿宋"/>
              <w:sz w:val="30"/>
              <w:szCs w:val="30"/>
            </w:rPr>
            <w:t>25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"_Toc28281" </w:instrText>
          </w:r>
          <w:r>
            <w:fldChar w:fldCharType="separate"/>
          </w:r>
          <w:r>
            <w:rPr>
              <w:rFonts w:hint="eastAsia" w:ascii="仿宋" w:hAnsi="仿宋" w:eastAsia="仿宋" w:cs="仿宋"/>
              <w:sz w:val="30"/>
              <w:szCs w:val="30"/>
            </w:rPr>
            <w:t>（四）绩效评价依据</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_Toc28281 \h </w:instrText>
          </w:r>
          <w:r>
            <w:rPr>
              <w:rFonts w:hint="eastAsia" w:ascii="仿宋" w:hAnsi="仿宋" w:eastAsia="仿宋" w:cs="仿宋"/>
              <w:sz w:val="30"/>
              <w:szCs w:val="30"/>
            </w:rPr>
            <w:fldChar w:fldCharType="separate"/>
          </w:r>
          <w:r>
            <w:rPr>
              <w:rFonts w:hint="eastAsia" w:ascii="仿宋" w:hAnsi="仿宋" w:eastAsia="仿宋" w:cs="仿宋"/>
              <w:sz w:val="30"/>
              <w:szCs w:val="30"/>
            </w:rPr>
            <w:t>25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"_Toc24493" </w:instrText>
          </w:r>
          <w:r>
            <w:fldChar w:fldCharType="separate"/>
          </w:r>
          <w:r>
            <w:rPr>
              <w:rFonts w:hint="eastAsia" w:ascii="仿宋" w:hAnsi="仿宋" w:eastAsia="仿宋" w:cs="仿宋"/>
              <w:sz w:val="30"/>
              <w:szCs w:val="30"/>
            </w:rPr>
            <w:t>（五）绩效评价指标体系及评价标准</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_Toc24493 \h </w:instrText>
          </w:r>
          <w:r>
            <w:rPr>
              <w:rFonts w:hint="eastAsia" w:ascii="仿宋" w:hAnsi="仿宋" w:eastAsia="仿宋" w:cs="仿宋"/>
              <w:sz w:val="30"/>
              <w:szCs w:val="30"/>
            </w:rPr>
            <w:fldChar w:fldCharType="separate"/>
          </w:r>
          <w:r>
            <w:rPr>
              <w:rFonts w:hint="eastAsia" w:ascii="仿宋" w:hAnsi="仿宋" w:eastAsia="仿宋" w:cs="仿宋"/>
              <w:sz w:val="30"/>
              <w:szCs w:val="30"/>
            </w:rPr>
            <w:t>27</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"_Toc20821" </w:instrText>
          </w:r>
          <w:r>
            <w:fldChar w:fldCharType="separate"/>
          </w:r>
          <w:r>
            <w:rPr>
              <w:rFonts w:hint="eastAsia" w:ascii="仿宋" w:hAnsi="仿宋" w:eastAsia="仿宋" w:cs="仿宋"/>
              <w:sz w:val="30"/>
              <w:szCs w:val="30"/>
            </w:rPr>
            <w:t>（六）评价的组织实施</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_Toc20821 \h </w:instrText>
          </w:r>
          <w:r>
            <w:rPr>
              <w:rFonts w:hint="eastAsia" w:ascii="仿宋" w:hAnsi="仿宋" w:eastAsia="仿宋" w:cs="仿宋"/>
              <w:sz w:val="30"/>
              <w:szCs w:val="30"/>
            </w:rPr>
            <w:fldChar w:fldCharType="separate"/>
          </w:r>
          <w:r>
            <w:rPr>
              <w:rFonts w:hint="eastAsia" w:ascii="仿宋" w:hAnsi="仿宋" w:eastAsia="仿宋" w:cs="仿宋"/>
              <w:sz w:val="30"/>
              <w:szCs w:val="30"/>
            </w:rPr>
            <w:t>29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0" w:leftChars="0"/>
            <w:rPr>
              <w:rFonts w:ascii="仿宋" w:hAnsi="仿宋" w:eastAsia="仿宋" w:cs="仿宋"/>
              <w:sz w:val="30"/>
              <w:szCs w:val="30"/>
            </w:rPr>
          </w:pPr>
          <w:r>
            <w:fldChar w:fldCharType="begin"/>
          </w:r>
          <w:r>
            <w:instrText xml:space="preserve"> HYPERLINK \l "_Toc19522" </w:instrText>
          </w:r>
          <w:r>
            <w:fldChar w:fldCharType="separate"/>
          </w:r>
          <w:r>
            <w:rPr>
              <w:rFonts w:hint="eastAsia" w:ascii="仿宋" w:hAnsi="仿宋" w:eastAsia="仿宋" w:cs="仿宋"/>
              <w:sz w:val="30"/>
              <w:szCs w:val="30"/>
            </w:rPr>
            <w:t>三、绩效评价结论及评价指标分析</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_Toc19522 \h </w:instrText>
          </w:r>
          <w:r>
            <w:rPr>
              <w:rFonts w:hint="eastAsia" w:ascii="仿宋" w:hAnsi="仿宋" w:eastAsia="仿宋" w:cs="仿宋"/>
              <w:sz w:val="30"/>
              <w:szCs w:val="30"/>
            </w:rPr>
            <w:fldChar w:fldCharType="separate"/>
          </w:r>
          <w:r>
            <w:rPr>
              <w:rFonts w:hint="eastAsia" w:ascii="仿宋" w:hAnsi="仿宋" w:eastAsia="仿宋" w:cs="仿宋"/>
              <w:sz w:val="30"/>
              <w:szCs w:val="30"/>
            </w:rPr>
            <w:t>31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"_Toc19647" </w:instrText>
          </w:r>
          <w:r>
            <w:fldChar w:fldCharType="separate"/>
          </w:r>
          <w:r>
            <w:rPr>
              <w:rFonts w:hint="eastAsia" w:ascii="仿宋" w:hAnsi="仿宋" w:eastAsia="仿宋" w:cs="仿宋"/>
              <w:sz w:val="30"/>
              <w:szCs w:val="30"/>
            </w:rPr>
            <w:t>（一）评价结论</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_Toc19647 \h </w:instrText>
          </w:r>
          <w:r>
            <w:rPr>
              <w:rFonts w:hint="eastAsia" w:ascii="仿宋" w:hAnsi="仿宋" w:eastAsia="仿宋" w:cs="仿宋"/>
              <w:sz w:val="30"/>
              <w:szCs w:val="30"/>
            </w:rPr>
            <w:fldChar w:fldCharType="separate"/>
          </w:r>
          <w:r>
            <w:rPr>
              <w:rFonts w:hint="eastAsia" w:ascii="仿宋" w:hAnsi="仿宋" w:eastAsia="仿宋" w:cs="仿宋"/>
              <w:sz w:val="30"/>
              <w:szCs w:val="30"/>
            </w:rPr>
            <w:t>31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"_Toc5288" </w:instrText>
          </w:r>
          <w:r>
            <w:fldChar w:fldCharType="separate"/>
          </w:r>
          <w:r>
            <w:rPr>
              <w:rFonts w:hint="eastAsia" w:ascii="仿宋" w:hAnsi="仿宋" w:eastAsia="仿宋" w:cs="仿宋"/>
              <w:sz w:val="30"/>
              <w:szCs w:val="30"/>
            </w:rPr>
            <w:t>（二）评价指标分析</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_Toc5288 \h </w:instrText>
          </w:r>
          <w:r>
            <w:rPr>
              <w:rFonts w:hint="eastAsia" w:ascii="仿宋" w:hAnsi="仿宋" w:eastAsia="仿宋" w:cs="仿宋"/>
              <w:sz w:val="30"/>
              <w:szCs w:val="30"/>
            </w:rPr>
            <w:fldChar w:fldCharType="separate"/>
          </w:r>
          <w:r>
            <w:rPr>
              <w:rFonts w:hint="eastAsia" w:ascii="仿宋" w:hAnsi="仿宋" w:eastAsia="仿宋" w:cs="仿宋"/>
              <w:sz w:val="30"/>
              <w:szCs w:val="30"/>
            </w:rPr>
            <w:t>31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0" w:leftChars="0"/>
            <w:rPr>
              <w:rFonts w:ascii="仿宋" w:hAnsi="仿宋" w:eastAsia="仿宋" w:cs="仿宋"/>
              <w:sz w:val="30"/>
              <w:szCs w:val="30"/>
            </w:rPr>
          </w:pPr>
          <w:r>
            <w:fldChar w:fldCharType="begin"/>
          </w:r>
          <w:r>
            <w:instrText xml:space="preserve"> HYPERLINK \l "_Toc18751" </w:instrText>
          </w:r>
          <w:r>
            <w:fldChar w:fldCharType="separate"/>
          </w:r>
          <w:r>
            <w:rPr>
              <w:rFonts w:hint="eastAsia" w:ascii="仿宋" w:hAnsi="仿宋" w:eastAsia="仿宋" w:cs="仿宋"/>
              <w:sz w:val="30"/>
              <w:szCs w:val="30"/>
            </w:rPr>
            <w:t>四、主要经验与做法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_Toc18751 \h </w:instrText>
          </w:r>
          <w:r>
            <w:rPr>
              <w:rFonts w:hint="eastAsia" w:ascii="仿宋" w:hAnsi="仿宋" w:eastAsia="仿宋" w:cs="仿宋"/>
              <w:sz w:val="30"/>
              <w:szCs w:val="30"/>
            </w:rPr>
            <w:fldChar w:fldCharType="separate"/>
          </w:r>
          <w:r>
            <w:rPr>
              <w:rFonts w:hint="eastAsia" w:ascii="仿宋" w:hAnsi="仿宋" w:eastAsia="仿宋" w:cs="仿宋"/>
              <w:sz w:val="30"/>
              <w:szCs w:val="30"/>
            </w:rPr>
            <w:t>42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0" w:leftChars="0"/>
            <w:rPr>
              <w:rFonts w:ascii="仿宋" w:hAnsi="仿宋" w:eastAsia="仿宋" w:cs="仿宋"/>
              <w:sz w:val="30"/>
              <w:szCs w:val="30"/>
            </w:rPr>
          </w:pPr>
          <w:r>
            <w:fldChar w:fldCharType="begin"/>
          </w:r>
          <w:r>
            <w:instrText xml:space="preserve"> HYPERLINK \l "_Toc27913" </w:instrText>
          </w:r>
          <w:r>
            <w:fldChar w:fldCharType="separate"/>
          </w:r>
          <w:r>
            <w:rPr>
              <w:rFonts w:hint="eastAsia" w:ascii="仿宋" w:hAnsi="仿宋" w:eastAsia="仿宋" w:cs="仿宋"/>
              <w:sz w:val="30"/>
              <w:szCs w:val="30"/>
            </w:rPr>
            <w:t>五、存在的问题</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_Toc27913 \h </w:instrText>
          </w:r>
          <w:r>
            <w:rPr>
              <w:rFonts w:hint="eastAsia" w:ascii="仿宋" w:hAnsi="仿宋" w:eastAsia="仿宋" w:cs="仿宋"/>
              <w:sz w:val="30"/>
              <w:szCs w:val="30"/>
            </w:rPr>
            <w:fldChar w:fldCharType="separate"/>
          </w:r>
          <w:r>
            <w:rPr>
              <w:rFonts w:hint="eastAsia" w:ascii="仿宋" w:hAnsi="仿宋" w:eastAsia="仿宋" w:cs="仿宋"/>
              <w:sz w:val="30"/>
              <w:szCs w:val="30"/>
            </w:rPr>
            <w:t>43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0" w:leftChars="0"/>
            <w:rPr>
              <w:rFonts w:ascii="仿宋" w:hAnsi="仿宋" w:eastAsia="仿宋" w:cs="仿宋"/>
              <w:sz w:val="30"/>
              <w:szCs w:val="30"/>
            </w:rPr>
          </w:pPr>
          <w:r>
            <w:fldChar w:fldCharType="begin"/>
          </w:r>
          <w:r>
            <w:instrText xml:space="preserve"> HYPERLINK \l "_Toc14127" </w:instrText>
          </w:r>
          <w:r>
            <w:fldChar w:fldCharType="separate"/>
          </w:r>
          <w:r>
            <w:rPr>
              <w:rFonts w:hint="eastAsia" w:ascii="仿宋" w:hAnsi="仿宋" w:eastAsia="仿宋" w:cs="仿宋"/>
              <w:sz w:val="30"/>
              <w:szCs w:val="30"/>
            </w:rPr>
            <w:t>六、相关建议</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_Toc14127 \h </w:instrText>
          </w:r>
          <w:r>
            <w:rPr>
              <w:rFonts w:hint="eastAsia" w:ascii="仿宋" w:hAnsi="仿宋" w:eastAsia="仿宋" w:cs="仿宋"/>
              <w:sz w:val="30"/>
              <w:szCs w:val="30"/>
            </w:rPr>
            <w:fldChar w:fldCharType="separate"/>
          </w:r>
          <w:r>
            <w:rPr>
              <w:rFonts w:hint="eastAsia" w:ascii="仿宋" w:hAnsi="仿宋" w:eastAsia="仿宋" w:cs="仿宋"/>
              <w:sz w:val="30"/>
              <w:szCs w:val="30"/>
            </w:rPr>
            <w:t>44</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1"/>
            <w:tabs>
              <w:tab w:val="right" w:leader="dot" w:pos="8958"/>
            </w:tabs>
            <w:spacing w:line="400" w:lineRule="exact"/>
            <w:rPr>
              <w:rFonts w:ascii="仿宋" w:hAnsi="仿宋" w:eastAsia="仿宋" w:cs="仿宋"/>
              <w:sz w:val="30"/>
              <w:szCs w:val="30"/>
            </w:rPr>
          </w:pPr>
          <w:r>
            <w:fldChar w:fldCharType="begin"/>
          </w:r>
          <w:r>
            <w:instrText xml:space="preserve"> HYPERLINK \l "_Toc16329" </w:instrText>
          </w:r>
          <w:r>
            <w:fldChar w:fldCharType="separate"/>
          </w:r>
          <w:r>
            <w:rPr>
              <w:rFonts w:hint="eastAsia" w:ascii="仿宋" w:hAnsi="仿宋" w:eastAsia="仿宋" w:cs="仿宋"/>
              <w:kern w:val="44"/>
              <w:sz w:val="30"/>
              <w:szCs w:val="30"/>
            </w:rPr>
            <w:t>附件1：</w:t>
          </w:r>
          <w:r>
            <w:rPr>
              <w:rFonts w:hint="eastAsia" w:ascii="仿宋" w:hAnsi="仿宋" w:eastAsia="仿宋" w:cs="仿宋"/>
              <w:sz w:val="30"/>
              <w:szCs w:val="30"/>
              <w:lang w:val="zh-CN"/>
            </w:rPr>
            <w:t>绩效评价指标体系</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_Toc16329 \h </w:instrText>
          </w:r>
          <w:r>
            <w:rPr>
              <w:rFonts w:hint="eastAsia" w:ascii="仿宋" w:hAnsi="仿宋" w:eastAsia="仿宋" w:cs="仿宋"/>
              <w:sz w:val="30"/>
              <w:szCs w:val="30"/>
            </w:rPr>
            <w:fldChar w:fldCharType="separate"/>
          </w:r>
          <w:r>
            <w:rPr>
              <w:rFonts w:hint="eastAsia" w:ascii="仿宋" w:hAnsi="仿宋" w:eastAsia="仿宋" w:cs="仿宋"/>
              <w:sz w:val="30"/>
              <w:szCs w:val="30"/>
            </w:rPr>
            <w:t>47</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1"/>
            <w:tabs>
              <w:tab w:val="right" w:leader="dot" w:pos="8958"/>
            </w:tabs>
            <w:spacing w:line="400" w:lineRule="exact"/>
            <w:rPr>
              <w:rFonts w:ascii="仿宋" w:hAnsi="仿宋" w:eastAsia="仿宋" w:cs="仿宋"/>
              <w:sz w:val="30"/>
              <w:szCs w:val="30"/>
            </w:rPr>
          </w:pPr>
          <w:r>
            <w:fldChar w:fldCharType="begin"/>
          </w:r>
          <w:r>
            <w:instrText xml:space="preserve"> HYPERLINK \l "_Toc8479" </w:instrText>
          </w:r>
          <w:r>
            <w:fldChar w:fldCharType="separate"/>
          </w:r>
          <w:r>
            <w:rPr>
              <w:rFonts w:hint="eastAsia" w:ascii="仿宋" w:hAnsi="仿宋" w:eastAsia="仿宋" w:cs="仿宋"/>
              <w:kern w:val="44"/>
              <w:sz w:val="30"/>
              <w:szCs w:val="30"/>
            </w:rPr>
            <w:t>附件2：</w:t>
          </w:r>
          <w:r>
            <w:rPr>
              <w:rFonts w:hint="eastAsia" w:ascii="仿宋" w:hAnsi="仿宋" w:eastAsia="仿宋" w:cs="仿宋"/>
              <w:sz w:val="30"/>
              <w:szCs w:val="30"/>
              <w:lang w:val="zh-CN"/>
            </w:rPr>
            <w:t>绩效评价</w:t>
          </w:r>
          <w:r>
            <w:rPr>
              <w:rFonts w:hint="eastAsia" w:ascii="仿宋" w:hAnsi="仿宋" w:eastAsia="仿宋" w:cs="仿宋"/>
              <w:sz w:val="30"/>
              <w:szCs w:val="30"/>
            </w:rPr>
            <w:t>评分表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_Toc8479 \h </w:instrText>
          </w:r>
          <w:r>
            <w:rPr>
              <w:rFonts w:hint="eastAsia" w:ascii="仿宋" w:hAnsi="仿宋" w:eastAsia="仿宋" w:cs="仿宋"/>
              <w:sz w:val="30"/>
              <w:szCs w:val="30"/>
            </w:rPr>
            <w:fldChar w:fldCharType="separate"/>
          </w:r>
          <w:r>
            <w:rPr>
              <w:rFonts w:hint="eastAsia" w:ascii="仿宋" w:hAnsi="仿宋" w:eastAsia="仿宋" w:cs="仿宋"/>
              <w:sz w:val="30"/>
              <w:szCs w:val="30"/>
            </w:rPr>
            <w:t>54</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0" w:leftChars="0"/>
            <w:rPr>
              <w:rFonts w:ascii="仿宋" w:hAnsi="仿宋" w:eastAsia="仿宋" w:cs="仿宋"/>
              <w:sz w:val="30"/>
              <w:szCs w:val="30"/>
            </w:rPr>
          </w:pPr>
          <w:r>
            <w:fldChar w:fldCharType="begin"/>
          </w:r>
          <w:r>
            <w:instrText xml:space="preserve"> HYPERLINK \l "_Toc25285" </w:instrText>
          </w:r>
          <w:r>
            <w:fldChar w:fldCharType="separate"/>
          </w:r>
          <w:r>
            <w:rPr>
              <w:rFonts w:hint="eastAsia" w:ascii="仿宋" w:hAnsi="仿宋" w:eastAsia="仿宋" w:cs="仿宋"/>
              <w:kern w:val="44"/>
              <w:sz w:val="30"/>
              <w:szCs w:val="30"/>
            </w:rPr>
            <w:t>附件3：访谈报告</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_Toc25285 \h </w:instrText>
          </w:r>
          <w:r>
            <w:rPr>
              <w:rFonts w:hint="eastAsia" w:ascii="仿宋" w:hAnsi="仿宋" w:eastAsia="仿宋" w:cs="仿宋"/>
              <w:sz w:val="30"/>
              <w:szCs w:val="30"/>
            </w:rPr>
            <w:fldChar w:fldCharType="separate"/>
          </w:r>
          <w:r>
            <w:rPr>
              <w:rFonts w:hint="eastAsia" w:ascii="仿宋" w:hAnsi="仿宋" w:eastAsia="仿宋" w:cs="仿宋"/>
              <w:sz w:val="30"/>
              <w:szCs w:val="30"/>
            </w:rPr>
            <w:t>55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0" w:leftChars="0"/>
            <w:rPr>
              <w:rFonts w:ascii="仿宋" w:hAnsi="仿宋" w:eastAsia="仿宋" w:cs="仿宋"/>
              <w:sz w:val="30"/>
              <w:szCs w:val="30"/>
            </w:rPr>
          </w:pPr>
          <w:r>
            <w:fldChar w:fldCharType="begin"/>
          </w:r>
          <w:r>
            <w:instrText xml:space="preserve"> HYPERLINK \l "_Toc6959" </w:instrText>
          </w:r>
          <w:r>
            <w:fldChar w:fldCharType="separate"/>
          </w:r>
          <w:r>
            <w:rPr>
              <w:rFonts w:hint="eastAsia" w:ascii="仿宋" w:hAnsi="仿宋" w:eastAsia="仿宋" w:cs="仿宋"/>
              <w:kern w:val="44"/>
              <w:sz w:val="30"/>
              <w:szCs w:val="30"/>
            </w:rPr>
            <w:t>附件4：问卷调查</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_Toc6959 \h </w:instrText>
          </w:r>
          <w:r>
            <w:rPr>
              <w:rFonts w:hint="eastAsia" w:ascii="仿宋" w:hAnsi="仿宋" w:eastAsia="仿宋" w:cs="仿宋"/>
              <w:sz w:val="30"/>
              <w:szCs w:val="30"/>
            </w:rPr>
            <w:fldChar w:fldCharType="separate"/>
          </w:r>
          <w:r>
            <w:rPr>
              <w:rFonts w:hint="eastAsia" w:ascii="仿宋" w:hAnsi="仿宋" w:eastAsia="仿宋" w:cs="仿宋"/>
              <w:sz w:val="30"/>
              <w:szCs w:val="30"/>
            </w:rPr>
            <w:t>58</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1"/>
            <w:tabs>
              <w:tab w:val="right" w:leader="dot" w:pos="8958"/>
            </w:tabs>
            <w:spacing w:line="400" w:lineRule="exact"/>
            <w:rPr>
              <w:rFonts w:ascii="仿宋" w:hAnsi="仿宋" w:eastAsia="仿宋" w:cs="仿宋"/>
              <w:sz w:val="30"/>
              <w:szCs w:val="30"/>
            </w:rPr>
          </w:pPr>
          <w:r>
            <w:fldChar w:fldCharType="begin"/>
          </w:r>
          <w:r>
            <w:instrText xml:space="preserve"> HYPERLINK \l "_Toc19540" </w:instrText>
          </w:r>
          <w:r>
            <w:fldChar w:fldCharType="separate"/>
          </w:r>
          <w:r>
            <w:rPr>
              <w:rFonts w:hint="eastAsia" w:ascii="仿宋" w:hAnsi="仿宋" w:eastAsia="仿宋" w:cs="仿宋"/>
              <w:kern w:val="44"/>
              <w:sz w:val="30"/>
              <w:szCs w:val="30"/>
            </w:rPr>
            <w:t>附件5：问卷调查分析报告</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_Toc19540 \h </w:instrText>
          </w:r>
          <w:r>
            <w:rPr>
              <w:rFonts w:hint="eastAsia" w:ascii="仿宋" w:hAnsi="仿宋" w:eastAsia="仿宋" w:cs="仿宋"/>
              <w:sz w:val="30"/>
              <w:szCs w:val="30"/>
            </w:rPr>
            <w:fldChar w:fldCharType="separate"/>
          </w:r>
          <w:r>
            <w:rPr>
              <w:rFonts w:hint="eastAsia" w:ascii="仿宋" w:hAnsi="仿宋" w:eastAsia="仿宋" w:cs="仿宋"/>
              <w:sz w:val="30"/>
              <w:szCs w:val="30"/>
            </w:rPr>
            <w:t>59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1"/>
            <w:tabs>
              <w:tab w:val="right" w:leader="dot" w:pos="8958"/>
            </w:tabs>
            <w:spacing w:line="400" w:lineRule="exact"/>
            <w:rPr>
              <w:rFonts w:ascii="仿宋" w:hAnsi="仿宋" w:eastAsia="仿宋" w:cs="仿宋"/>
              <w:sz w:val="30"/>
              <w:szCs w:val="30"/>
            </w:rPr>
          </w:pPr>
          <w:r>
            <w:fldChar w:fldCharType="begin"/>
          </w:r>
          <w:r>
            <w:instrText xml:space="preserve"> HYPERLINK \l "_Toc30385" </w:instrText>
          </w:r>
          <w:r>
            <w:fldChar w:fldCharType="separate"/>
          </w:r>
          <w:r>
            <w:rPr>
              <w:rFonts w:hint="eastAsia" w:ascii="仿宋" w:hAnsi="仿宋" w:eastAsia="仿宋" w:cs="仿宋"/>
              <w:kern w:val="44"/>
              <w:sz w:val="30"/>
              <w:szCs w:val="30"/>
            </w:rPr>
            <w:t>附件6：资金合规性检查报告</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_Toc30385 \h </w:instrText>
          </w:r>
          <w:r>
            <w:rPr>
              <w:rFonts w:hint="eastAsia" w:ascii="仿宋" w:hAnsi="仿宋" w:eastAsia="仿宋" w:cs="仿宋"/>
              <w:sz w:val="30"/>
              <w:szCs w:val="30"/>
            </w:rPr>
            <w:fldChar w:fldCharType="separate"/>
          </w:r>
          <w:r>
            <w:rPr>
              <w:rFonts w:hint="eastAsia" w:ascii="仿宋" w:hAnsi="仿宋" w:eastAsia="仿宋" w:cs="仿宋"/>
              <w:sz w:val="30"/>
              <w:szCs w:val="30"/>
            </w:rPr>
            <w:t>62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1"/>
            <w:tabs>
              <w:tab w:val="right" w:leader="dot" w:pos="8958"/>
            </w:tabs>
            <w:spacing w:line="400" w:lineRule="exact"/>
            <w:rPr>
              <w:rFonts w:ascii="仿宋" w:hAnsi="仿宋" w:eastAsia="仿宋" w:cs="仿宋"/>
              <w:sz w:val="30"/>
              <w:szCs w:val="30"/>
            </w:rPr>
          </w:pPr>
          <w:r>
            <w:fldChar w:fldCharType="begin"/>
          </w:r>
          <w:r>
            <w:instrText xml:space="preserve"> HYPERLINK \l "_Toc29869" </w:instrText>
          </w:r>
          <w:r>
            <w:fldChar w:fldCharType="separate"/>
          </w:r>
          <w:r>
            <w:rPr>
              <w:rFonts w:hint="eastAsia" w:ascii="仿宋" w:hAnsi="仿宋" w:eastAsia="仿宋" w:cs="仿宋"/>
              <w:sz w:val="30"/>
              <w:szCs w:val="30"/>
            </w:rPr>
            <w:t>附件7：基础信息及自评报告复核情况表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_Toc29869 \h </w:instrText>
          </w:r>
          <w:r>
            <w:rPr>
              <w:rFonts w:hint="eastAsia" w:ascii="仿宋" w:hAnsi="仿宋" w:eastAsia="仿宋" w:cs="仿宋"/>
              <w:sz w:val="30"/>
              <w:szCs w:val="30"/>
            </w:rPr>
            <w:fldChar w:fldCharType="separate"/>
          </w:r>
          <w:r>
            <w:rPr>
              <w:rFonts w:hint="eastAsia" w:ascii="仿宋" w:hAnsi="仿宋" w:eastAsia="仿宋" w:cs="仿宋"/>
              <w:sz w:val="30"/>
              <w:szCs w:val="30"/>
            </w:rPr>
            <w:t>67</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widowControl/>
            <w:spacing w:line="380" w:lineRule="exact"/>
            <w:ind w:firstLine="600"/>
          </w:pPr>
          <w:r>
            <w:rPr>
              <w:rFonts w:hint="eastAsia" w:ascii="仿宋" w:hAnsi="仿宋" w:cs="仿宋"/>
              <w:sz w:val="30"/>
              <w:szCs w:val="30"/>
            </w:rPr>
            <w:fldChar w:fldCharType="end"/>
          </w:r>
        </w:p>
      </w:sdtContent>
    </w:sdt>
    <w:p>
      <w:pPr>
        <w:ind w:firstLine="0" w:firstLineChars="0"/>
        <w:jc w:val="center"/>
        <w:outlineLvl w:val="0"/>
        <w:rPr>
          <w:rFonts w:ascii="方正小标宋简体" w:hAnsi="方正小标宋简体" w:eastAsia="方正小标宋简体" w:cs="方正小标宋简体"/>
          <w:sz w:val="36"/>
          <w:szCs w:val="36"/>
        </w:rPr>
        <w:sectPr>
          <w:footerReference r:id="rId13" w:type="default"/>
          <w:pgSz w:w="11906" w:h="16838"/>
          <w:pgMar w:top="2041" w:right="1417" w:bottom="1417" w:left="1531" w:header="1417" w:footer="992" w:gutter="0"/>
          <w:pgNumType w:start="1"/>
          <w:cols w:space="720" w:num="1"/>
          <w:docGrid w:type="lines" w:linePitch="312" w:charSpace="0"/>
        </w:sectPr>
      </w:pPr>
      <w:bookmarkStart w:id="2" w:name="_Toc3214"/>
    </w:p>
    <w:p>
      <w:pPr>
        <w:ind w:firstLine="0" w:firstLineChars="0"/>
        <w:jc w:val="center"/>
        <w:outlineLvl w:val="0"/>
        <w:rPr>
          <w:rFonts w:ascii="方正小标宋简体" w:hAnsi="方正小标宋简体" w:eastAsia="方正小标宋简体" w:cs="方正小标宋简体"/>
          <w:sz w:val="36"/>
          <w:szCs w:val="36"/>
        </w:rPr>
        <w:sectPr>
          <w:footerReference r:id="rId14" w:type="default"/>
          <w:pgSz w:w="11906" w:h="16838"/>
          <w:pgMar w:top="2041" w:right="1417" w:bottom="1417" w:left="1531" w:header="1417" w:footer="992" w:gutter="0"/>
          <w:pgNumType w:start="1"/>
          <w:cols w:space="720" w:num="1"/>
          <w:docGrid w:type="lines" w:linePitch="312" w:charSpace="0"/>
        </w:sectPr>
      </w:pPr>
    </w:p>
    <w:bookmarkEnd w:id="2"/>
    <w:p>
      <w:pPr>
        <w:ind w:firstLine="0" w:firstLineChars="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永济沿黄旅游公路改建工程</w:t>
      </w:r>
    </w:p>
    <w:bookmarkEnd w:id="0"/>
    <w:p>
      <w:pPr>
        <w:ind w:firstLine="0" w:firstLineChars="0"/>
        <w:jc w:val="center"/>
        <w:outlineLvl w:val="0"/>
        <w:rPr>
          <w:rFonts w:ascii="方正小标宋简体" w:hAnsi="方正小标宋简体" w:eastAsia="方正小标宋简体" w:cs="方正小标宋简体"/>
          <w:sz w:val="36"/>
          <w:szCs w:val="36"/>
        </w:rPr>
      </w:pPr>
      <w:bookmarkStart w:id="3" w:name="_Toc11557"/>
      <w:bookmarkStart w:id="4" w:name="_Toc23760"/>
      <w:bookmarkStart w:id="5" w:name="_Toc18859"/>
      <w:r>
        <w:rPr>
          <w:rFonts w:hint="eastAsia" w:ascii="方正小标宋简体" w:hAnsi="方正小标宋简体" w:eastAsia="方正小标宋简体" w:cs="方正小标宋简体"/>
          <w:sz w:val="36"/>
          <w:szCs w:val="36"/>
        </w:rPr>
        <w:t>项目绩效评价</w:t>
      </w:r>
      <w:bookmarkEnd w:id="3"/>
      <w:bookmarkEnd w:id="4"/>
      <w:r>
        <w:rPr>
          <w:rFonts w:hint="eastAsia" w:ascii="方正小标宋简体" w:hAnsi="方正小标宋简体" w:eastAsia="方正小标宋简体" w:cs="方正小标宋简体"/>
          <w:sz w:val="36"/>
          <w:szCs w:val="36"/>
        </w:rPr>
        <w:t>报告摘要</w:t>
      </w:r>
      <w:bookmarkEnd w:id="5"/>
    </w:p>
    <w:p>
      <w:pPr>
        <w:pStyle w:val="2"/>
        <w:ind w:left="640" w:firstLine="640"/>
        <w:jc w:val="right"/>
        <w:rPr>
          <w:rFonts w:hint="default" w:ascii="仿宋_GB2312" w:hAnsi="仿宋_GB2312" w:eastAsia="仿宋_GB2312" w:cs="仿宋_GB2312"/>
          <w:kern w:val="28"/>
          <w:sz w:val="32"/>
          <w:szCs w:val="32"/>
          <w:lang w:val="en-US" w:eastAsia="zh-CN" w:bidi="ar-SA"/>
        </w:rPr>
      </w:pPr>
      <w:r>
        <w:rPr>
          <w:rFonts w:hint="eastAsia" w:ascii="仿宋_GB2312" w:hAnsi="仿宋_GB2312" w:eastAsia="仿宋_GB2312" w:cs="仿宋_GB2312"/>
          <w:kern w:val="28"/>
          <w:sz w:val="32"/>
          <w:szCs w:val="32"/>
          <w:lang w:val="en-US" w:eastAsia="zh-CN" w:bidi="ar-SA"/>
        </w:rPr>
        <w:t>晋同仁鉴[2022]0098号</w:t>
      </w:r>
    </w:p>
    <w:p>
      <w:pPr>
        <w:ind w:firstLine="640"/>
      </w:pP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为加强财政专项资金项目管理，保障资金发挥预期效益，山西同仁会计师事务所（有限公司）受永济市财政局委托对</w:t>
      </w:r>
      <w:r>
        <w:rPr>
          <w:rFonts w:hint="eastAsia" w:ascii="仿宋_GB2312" w:hAnsi="仿宋_GB2312" w:eastAsia="仿宋_GB2312" w:cs="仿宋_GB2312"/>
          <w:kern w:val="28"/>
          <w:szCs w:val="32"/>
        </w:rPr>
        <w:t>永济沿黄旅游公路改建工程项目</w:t>
      </w:r>
      <w:r>
        <w:rPr>
          <w:rFonts w:hint="eastAsia" w:ascii="仿宋_GB2312" w:hAnsi="仿宋_GB2312" w:eastAsia="仿宋_GB2312" w:cs="仿宋_GB2312"/>
          <w:szCs w:val="32"/>
        </w:rPr>
        <w:t>开展绩效评价工作。绩效评价报告主要内容汇总如下：</w:t>
      </w:r>
    </w:p>
    <w:p>
      <w:pPr>
        <w:pStyle w:val="5"/>
        <w:ind w:firstLine="643"/>
        <w:rPr>
          <w:b w:val="0"/>
          <w:bCs/>
        </w:rPr>
      </w:pPr>
      <w:bookmarkStart w:id="6" w:name="_Toc24025"/>
      <w:r>
        <w:rPr>
          <w:rFonts w:hint="eastAsia"/>
        </w:rPr>
        <w:t>一、</w:t>
      </w:r>
      <w:bookmarkEnd w:id="1"/>
      <w:r>
        <w:rPr>
          <w:rFonts w:hint="eastAsia"/>
        </w:rPr>
        <w:t>项目概况</w:t>
      </w:r>
      <w:bookmarkEnd w:id="6"/>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旅游公路是兼具交通与旅游双重功能的公路，是绿色公路建设的重要内容，是促进交通与旅游融合发展的重要载体。</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2015年8月4日，国务院办公厅关于进一步促进旅游投资和消费的若干意见（国办发〔2015〕62号）指出：旅游业是我国经济社会发展的综合性产业，是国民经济和现代服务业的重要组成部分。2016年12月7日，国务院关于印发“十三五”旅游业发展规划的通知（国发〔2016〕70号），提出要打造国家精品旅游带，重点打造丝绸之路旅游带、黄河华夏文明旅游带等10条国家精品旅游带。</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山西省提出发展黄河、长城、太行三大旅游板块，利用山西旅游资源优势，推动文化旅游融合发展，打造“夏养山西”康养产业集群，打造文化旅游村镇。黄河、长城、太行扶贫旅游公路（一号公路）是山西省省委、省政府开发三大旅游板块、打造国家全域旅游示范区的重要组成部分。</w:t>
      </w:r>
    </w:p>
    <w:p>
      <w:pPr>
        <w:ind w:firstLine="640"/>
        <w:rPr>
          <w:rFonts w:ascii="仿宋_GB2312" w:hAnsi="仿宋_GB2312" w:eastAsia="仿宋_GB2312" w:cs="仿宋_GB2312"/>
          <w:kern w:val="28"/>
          <w:szCs w:val="32"/>
        </w:rPr>
      </w:pPr>
      <w:r>
        <w:rPr>
          <w:rFonts w:ascii="仿宋_GB2312" w:hAnsi="仿宋_GB2312" w:eastAsia="仿宋_GB2312" w:cs="仿宋_GB2312"/>
          <w:kern w:val="28"/>
          <w:szCs w:val="32"/>
        </w:rPr>
        <w:t>永济市地处晋、陕、豫“黄河金三角”的核心地带，是山西的“南大门”，西临“母亲河”、南屏中条山、北望峨眉岭、腹有伍姓湖、横贯涑水河</w:t>
      </w:r>
      <w:r>
        <w:rPr>
          <w:rFonts w:hint="eastAsia" w:ascii="仿宋_GB2312" w:hAnsi="仿宋_GB2312" w:eastAsia="仿宋_GB2312" w:cs="仿宋_GB2312"/>
          <w:kern w:val="28"/>
          <w:szCs w:val="32"/>
        </w:rPr>
        <w:t>，区位优势明显，交通条件便利，被授予“中国优秀旅游城市”</w:t>
      </w:r>
      <w:r>
        <w:rPr>
          <w:rFonts w:ascii="仿宋_GB2312" w:hAnsi="仿宋_GB2312" w:eastAsia="仿宋_GB2312" w:cs="仿宋_GB2312"/>
          <w:kern w:val="28"/>
          <w:szCs w:val="32"/>
        </w:rPr>
        <w:t>。</w:t>
      </w:r>
    </w:p>
    <w:p>
      <w:pPr>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rPr>
        <w:t>为积极响应国家和山西号召，充分发挥山西旅游业优势，适应山西经济转型升级和国家全域旅游示范区创建需要，进一步推进永济市旅游产业发展进程，提升永济市旅游文化品位，结合沿黄旅游公路现状，制定了《永济市全域旅游总体规划及三年行动计划（2017-2021）》，开展永济沿黄旅游公路改建工程</w:t>
      </w:r>
      <w:r>
        <w:rPr>
          <w:rFonts w:hint="eastAsia" w:ascii="仿宋_GB2312" w:hAnsi="仿宋_GB2312" w:eastAsia="仿宋_GB2312" w:cs="仿宋_GB2312"/>
          <w:szCs w:val="32"/>
        </w:rPr>
        <w:t>。项目分期开展，本次评价</w:t>
      </w:r>
      <w:r>
        <w:rPr>
          <w:rFonts w:hint="eastAsia" w:ascii="仿宋_GB2312" w:hAnsi="仿宋_GB2312" w:eastAsia="仿宋_GB2312" w:cs="仿宋_GB2312"/>
          <w:kern w:val="28"/>
          <w:szCs w:val="32"/>
        </w:rPr>
        <w:t>永济沿黄旅游公路改建工程二三期。</w:t>
      </w:r>
    </w:p>
    <w:p>
      <w:pPr>
        <w:pStyle w:val="5"/>
        <w:ind w:firstLine="643"/>
        <w:rPr>
          <w:b w:val="0"/>
          <w:bCs/>
        </w:rPr>
      </w:pPr>
      <w:bookmarkStart w:id="7" w:name="_Toc16819"/>
      <w:r>
        <w:rPr>
          <w:rFonts w:hint="eastAsia"/>
        </w:rPr>
        <w:t>二、项目主要内容</w:t>
      </w:r>
      <w:bookmarkEnd w:id="7"/>
    </w:p>
    <w:p>
      <w:pPr>
        <w:ind w:firstLine="643"/>
        <w:jc w:val="both"/>
        <w:outlineLvl w:val="1"/>
        <w:rPr>
          <w:rFonts w:hint="eastAsia" w:ascii="仿宋_GB2312" w:hAnsi="仿宋_GB2312" w:eastAsia="仿宋_GB2312" w:cs="仿宋_GB2312"/>
          <w:b/>
          <w:bCs/>
          <w:szCs w:val="32"/>
          <w:lang w:val="en-US" w:eastAsia="zh-CN"/>
        </w:rPr>
      </w:pPr>
      <w:bookmarkStart w:id="8" w:name="_Toc27687"/>
      <w:r>
        <w:rPr>
          <w:rFonts w:hint="eastAsia" w:ascii="仿宋_GB2312" w:hAnsi="仿宋_GB2312" w:eastAsia="仿宋_GB2312" w:cs="仿宋_GB2312"/>
          <w:b/>
          <w:bCs/>
          <w:szCs w:val="32"/>
        </w:rPr>
        <w:t>1.</w:t>
      </w:r>
      <w:bookmarkEnd w:id="8"/>
      <w:r>
        <w:rPr>
          <w:rFonts w:hint="eastAsia" w:ascii="仿宋_GB2312" w:hAnsi="仿宋_GB2312" w:eastAsia="仿宋_GB2312" w:cs="仿宋_GB2312"/>
          <w:b/>
          <w:bCs/>
          <w:szCs w:val="32"/>
        </w:rPr>
        <w:t>项目</w:t>
      </w:r>
      <w:r>
        <w:rPr>
          <w:rFonts w:hint="eastAsia" w:ascii="仿宋_GB2312" w:hAnsi="仿宋_GB2312" w:eastAsia="仿宋_GB2312" w:cs="仿宋_GB2312"/>
          <w:b/>
          <w:bCs/>
          <w:szCs w:val="32"/>
          <w:lang w:val="en-US" w:eastAsia="zh-CN"/>
        </w:rPr>
        <w:t>批复</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（1）永济市发展和改革局《关于永济沿黄旅游公路改建工程初步设计报告的批复》（永政发改〔2019〕18号）文件内容如下：</w:t>
      </w:r>
    </w:p>
    <w:p>
      <w:pPr>
        <w:pStyle w:val="8"/>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项目编码：2018-140881-48-01-028145</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建设地址：路线起点位于永济市与临猗县县界处，沿引黄渠东侧途经舜帝村、永宁村等，终点位于与芮城县交界处</w:t>
      </w:r>
      <w:r>
        <w:rPr>
          <w:rFonts w:ascii="仿宋_GB2312" w:hAnsi="仿宋_GB2312" w:eastAsia="仿宋_GB2312" w:cs="仿宋_GB2312"/>
          <w:kern w:val="28"/>
          <w:szCs w:val="32"/>
        </w:rPr>
        <w:t>。</w:t>
      </w:r>
      <w:r>
        <w:rPr>
          <w:rFonts w:hint="eastAsia" w:ascii="仿宋_GB2312" w:hAnsi="仿宋_GB2312" w:eastAsia="仿宋_GB2312" w:cs="仿宋_GB2312"/>
          <w:kern w:val="28"/>
          <w:szCs w:val="32"/>
        </w:rPr>
        <w:t>支线起点位于永济市雪花山风景区，途径赵坊村、舜帝山森林公园，止于神潭大峡谷，接中条山旅游绿道经万固寺、唐开元铁牛馆，终点位于鹤雀楼景区。</w:t>
      </w:r>
    </w:p>
    <w:p>
      <w:pPr>
        <w:pStyle w:val="8"/>
        <w:ind w:firstLine="640"/>
        <w:rPr>
          <w:rFonts w:hAnsi="仿宋_GB2312" w:cs="仿宋_GB2312"/>
          <w:kern w:val="28"/>
          <w:szCs w:val="32"/>
        </w:rPr>
      </w:pPr>
      <w:r>
        <w:rPr>
          <w:rFonts w:hint="eastAsia" w:hAnsi="仿宋_GB2312" w:cs="仿宋_GB2312"/>
          <w:kern w:val="28"/>
          <w:szCs w:val="32"/>
        </w:rPr>
        <w:t>项目建设内容及规模：</w:t>
      </w:r>
      <w:r>
        <w:rPr>
          <w:rFonts w:hint="eastAsia" w:ascii="仿宋_GB2312" w:hAnsi="仿宋_GB2312" w:eastAsia="仿宋_GB2312" w:cs="仿宋_GB2312"/>
          <w:kern w:val="28"/>
          <w:szCs w:val="32"/>
        </w:rPr>
        <w:t>项目采用三级公路标准，路线全长75.349千米。其中A1K0+000～A1K6+248.523段，路面宽度7.5米，路基宽度8.5米，剩余路段路面宽度6.5米，路基宽度7.5米。其中改建路线37.886千米，绿化75.349千米，景观及配套设施建设等绿化面积379088平方米。路面采用改性沥青混凝土路面。不需征用土地。</w:t>
      </w:r>
    </w:p>
    <w:p>
      <w:pPr>
        <w:pStyle w:val="8"/>
        <w:ind w:firstLine="640"/>
        <w:rPr>
          <w:rFonts w:hAnsi="仿宋_GB2312" w:cs="仿宋_GB2312"/>
          <w:kern w:val="28"/>
          <w:szCs w:val="32"/>
        </w:rPr>
      </w:pPr>
      <w:r>
        <w:rPr>
          <w:rFonts w:hint="eastAsia" w:hAnsi="仿宋_GB2312" w:cs="仿宋_GB2312"/>
          <w:kern w:val="28"/>
          <w:szCs w:val="32"/>
        </w:rPr>
        <w:t>（</w:t>
      </w:r>
      <w:r>
        <w:rPr>
          <w:rFonts w:hint="eastAsia" w:ascii="仿宋_GB2312" w:hAnsi="仿宋_GB2312" w:eastAsia="仿宋_GB2312" w:cs="仿宋_GB2312"/>
          <w:kern w:val="28"/>
          <w:szCs w:val="32"/>
        </w:rPr>
        <w:t>2）</w:t>
      </w:r>
      <w:r>
        <w:rPr>
          <w:rFonts w:hint="eastAsia" w:hAnsi="仿宋_GB2312" w:cs="仿宋_GB2312"/>
          <w:kern w:val="28"/>
          <w:szCs w:val="32"/>
        </w:rPr>
        <w:t>本次评价对象</w:t>
      </w:r>
      <w:r>
        <w:rPr>
          <w:rFonts w:hint="eastAsia" w:ascii="仿宋_GB2312" w:hAnsi="仿宋_GB2312" w:eastAsia="仿宋_GB2312" w:cs="仿宋_GB2312"/>
          <w:kern w:val="28"/>
          <w:szCs w:val="32"/>
        </w:rPr>
        <w:t>永济沿黄旅游公路改建工程</w:t>
      </w:r>
      <w:r>
        <w:rPr>
          <w:rFonts w:hint="eastAsia" w:hAnsi="仿宋_GB2312" w:cs="仿宋_GB2312"/>
          <w:kern w:val="28"/>
          <w:szCs w:val="32"/>
        </w:rPr>
        <w:t>二三期情况如下：</w:t>
      </w:r>
    </w:p>
    <w:p>
      <w:pPr>
        <w:pStyle w:val="8"/>
        <w:ind w:firstLine="640"/>
        <w:rPr>
          <w:rFonts w:hAnsi="仿宋_GB2312" w:cs="仿宋_GB2312"/>
          <w:kern w:val="28"/>
          <w:szCs w:val="32"/>
        </w:rPr>
      </w:pPr>
      <w:r>
        <w:rPr>
          <w:rFonts w:hint="eastAsia" w:ascii="仿宋_GB2312" w:hAnsi="仿宋_GB2312" w:eastAsia="仿宋_GB2312" w:cs="仿宋_GB2312"/>
          <w:kern w:val="28"/>
          <w:szCs w:val="32"/>
        </w:rPr>
        <w:t>根据2019年9月20日永济市财政投资评审中心（永财预评报〔2019〕第87号）、2020年5月22日永济市财政投资评审中心（永财预评报〔2020〕第39号）、2020年8月21日永济市财政投资评审中心（永财预评报〔2020〕第109、110、111号）文件，项目主要包括杨马-万固寺西段和张营-文学段、西敬庄-张营段、雪花山-万固寺东段以及道路安全设施。路线全长36.139千米，其中：二期为杨马-万固寺西段和张营-文学两段，全长20.448千米（其中：杨马-万固寺西段长3.27千米、张营-文学段长17.178千米）；三期的西敬庄-张营段（K0+000-K6+248.522）长6.227千米、雪花山-万固寺东段长9.464千米。</w:t>
      </w:r>
      <w:r>
        <w:rPr>
          <w:rFonts w:hint="eastAsia" w:hAnsi="仿宋_GB2312" w:cs="仿宋_GB2312"/>
          <w:kern w:val="28"/>
          <w:szCs w:val="32"/>
        </w:rPr>
        <w:t>项目招投标情况如下：</w:t>
      </w:r>
    </w:p>
    <w:tbl>
      <w:tblPr>
        <w:tblStyle w:val="15"/>
        <w:tblW w:w="49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6"/>
        <w:gridCol w:w="1259"/>
        <w:gridCol w:w="3576"/>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项目标段</w:t>
            </w:r>
          </w:p>
        </w:tc>
        <w:tc>
          <w:tcPr>
            <w:tcW w:w="811" w:type="pc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招标时间</w:t>
            </w:r>
          </w:p>
        </w:tc>
        <w:tc>
          <w:tcPr>
            <w:tcW w:w="2013" w:type="pc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中标单位</w:t>
            </w:r>
          </w:p>
        </w:tc>
        <w:tc>
          <w:tcPr>
            <w:tcW w:w="836" w:type="pc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中标价（万元）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张营-黄龙</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山西鹏翼路桥有限公司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886.6235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黄龙-大鸳鸯</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山西宝路通路桥工程有限公司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1085.2383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大鸳鸯-南苏</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南阳泓宇路桥工程有限公司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1008.3951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南苏-太吕</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山西四建集团有限公司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903.8668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太吕-韩家庄</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山西杰兴源建设工程有限公司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871.2698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杨马-万固寺西段</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山西玉达路桥工程有限公司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613.0105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监理</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山西正大通畅建设工程监理有限公司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西敬庄-张营</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2020.9.22</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山西宝路通路桥工程有限公司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2165.0058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雪花山-万固寺东段（1）</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2020.9.22</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山西玉达路桥工程有限公司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1416.4819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雪花山-万固寺东段（2）</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2020.9.22</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陕西大道建筑工程有限公司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659.1927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安保</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2020.9.22</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山西鹏翼路桥有限公司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459.9006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监理</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2020.9.22</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山西正大通畅建设工程监理有限公司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c>
          <w:tcPr>
            <w:tcW w:w="811" w:type="pct"/>
            <w:noWrap/>
            <w:vAlign w:val="center"/>
          </w:tcPr>
          <w:p>
            <w:pPr>
              <w:pStyle w:val="10"/>
              <w:widowControl w:val="0"/>
              <w:spacing w:before="100" w:after="100" w:line="240" w:lineRule="auto"/>
              <w:ind w:firstLine="0" w:firstLineChars="0"/>
              <w:jc w:val="center"/>
              <w:rPr>
                <w:rFonts w:cs="宋体"/>
                <w:b/>
                <w:bCs/>
                <w:sz w:val="21"/>
                <w:szCs w:val="21"/>
              </w:rPr>
            </w:pPr>
          </w:p>
        </w:tc>
        <w:tc>
          <w:tcPr>
            <w:tcW w:w="2013" w:type="pct"/>
            <w:noWrap/>
            <w:vAlign w:val="center"/>
          </w:tcPr>
          <w:p>
            <w:pPr>
              <w:pStyle w:val="10"/>
              <w:widowControl w:val="0"/>
              <w:spacing w:before="100" w:after="100" w:line="240" w:lineRule="auto"/>
              <w:ind w:firstLine="0" w:firstLineChars="0"/>
              <w:jc w:val="center"/>
              <w:rPr>
                <w:rFonts w:cs="宋体"/>
                <w:b/>
                <w:bCs/>
                <w:sz w:val="21"/>
                <w:szCs w:val="21"/>
              </w:rPr>
            </w:pPr>
          </w:p>
        </w:tc>
        <w:tc>
          <w:tcPr>
            <w:tcW w:w="836" w:type="pct"/>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10200.145</w:t>
            </w:r>
          </w:p>
        </w:tc>
      </w:tr>
    </w:tbl>
    <w:p>
      <w:pPr>
        <w:ind w:firstLine="643"/>
        <w:jc w:val="both"/>
        <w:outlineLvl w:val="1"/>
        <w:rPr>
          <w:rFonts w:ascii="仿宋_GB2312" w:hAnsi="仿宋_GB2312" w:eastAsia="仿宋_GB2312" w:cs="仿宋_GB2312"/>
          <w:b/>
          <w:bCs/>
          <w:szCs w:val="32"/>
        </w:rPr>
      </w:pPr>
      <w:bookmarkStart w:id="9" w:name="_Toc1327"/>
      <w:r>
        <w:rPr>
          <w:rFonts w:hint="eastAsia" w:ascii="仿宋_GB2312" w:hAnsi="仿宋_GB2312" w:eastAsia="仿宋_GB2312" w:cs="仿宋_GB2312"/>
          <w:b/>
          <w:bCs/>
          <w:szCs w:val="32"/>
        </w:rPr>
        <w:t>2.项目实施情况</w:t>
      </w:r>
      <w:bookmarkEnd w:id="9"/>
    </w:p>
    <w:p>
      <w:pPr>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rPr>
        <w:t>永济沿黄旅游公路改建工程</w:t>
      </w:r>
      <w:r>
        <w:rPr>
          <w:rFonts w:hint="eastAsia" w:hAnsi="仿宋_GB2312" w:cs="仿宋_GB2312"/>
          <w:kern w:val="28"/>
          <w:szCs w:val="32"/>
        </w:rPr>
        <w:t>二三期项目共分</w:t>
      </w:r>
      <w:r>
        <w:rPr>
          <w:rFonts w:hint="eastAsia" w:ascii="仿宋_GB2312" w:hAnsi="仿宋_GB2312" w:eastAsia="仿宋_GB2312" w:cs="仿宋_GB2312"/>
          <w:kern w:val="28"/>
          <w:szCs w:val="32"/>
        </w:rPr>
        <w:t>为12个标段</w:t>
      </w:r>
      <w:r>
        <w:rPr>
          <w:rFonts w:hint="eastAsia" w:hAnsi="仿宋_GB2312" w:cs="仿宋_GB2312"/>
          <w:kern w:val="28"/>
          <w:szCs w:val="32"/>
        </w:rPr>
        <w:t>，项目分别委托山西景屹招标代理有限公司、天马盛鼎项目管理有限公司进行公开招标，共确</w:t>
      </w:r>
      <w:r>
        <w:rPr>
          <w:rFonts w:hint="eastAsia" w:ascii="仿宋_GB2312" w:hAnsi="仿宋_GB2312" w:eastAsia="仿宋_GB2312" w:cs="仿宋_GB2312"/>
          <w:kern w:val="28"/>
          <w:szCs w:val="32"/>
        </w:rPr>
        <w:t>定8家中标单</w:t>
      </w:r>
      <w:r>
        <w:rPr>
          <w:rFonts w:hint="eastAsia" w:hAnsi="仿宋_GB2312" w:cs="仿宋_GB2312"/>
          <w:kern w:val="28"/>
          <w:szCs w:val="32"/>
        </w:rPr>
        <w:t>位</w:t>
      </w:r>
      <w:r>
        <w:rPr>
          <w:rFonts w:hint="eastAsia" w:ascii="仿宋_GB2312" w:hAnsi="仿宋_GB2312" w:eastAsia="仿宋_GB2312" w:cs="仿宋_GB2312"/>
          <w:szCs w:val="32"/>
        </w:rPr>
        <w:t>。项目二期工程于2019年12月开始建设，项目三期工程于2020年10月开始建设，截至2022年6月，项目均已建设完成。</w:t>
      </w:r>
    </w:p>
    <w:p>
      <w:pPr>
        <w:pStyle w:val="5"/>
        <w:ind w:firstLine="643"/>
      </w:pPr>
      <w:bookmarkStart w:id="10" w:name="_Toc24986"/>
      <w:r>
        <w:rPr>
          <w:rFonts w:hint="eastAsia"/>
        </w:rPr>
        <w:t>三、项目资金管理及使用情况</w:t>
      </w:r>
      <w:bookmarkEnd w:id="10"/>
    </w:p>
    <w:p>
      <w:pPr>
        <w:ind w:firstLine="643"/>
        <w:jc w:val="both"/>
        <w:outlineLvl w:val="1"/>
        <w:rPr>
          <w:rFonts w:ascii="仿宋_GB2312" w:hAnsi="仿宋_GB2312" w:eastAsia="仿宋_GB2312" w:cs="仿宋_GB2312"/>
          <w:b/>
          <w:bCs/>
          <w:szCs w:val="32"/>
        </w:rPr>
      </w:pPr>
      <w:bookmarkStart w:id="11" w:name="_Toc17347"/>
      <w:r>
        <w:rPr>
          <w:rFonts w:hint="eastAsia" w:ascii="仿宋_GB2312" w:hAnsi="仿宋_GB2312" w:eastAsia="仿宋_GB2312" w:cs="仿宋_GB2312"/>
          <w:b/>
          <w:bCs/>
          <w:szCs w:val="32"/>
        </w:rPr>
        <w:t>（一）资金预算情况</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1.永济沿黄旅游公路改建工程项目总体预算情况</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根据2018年12月14日永济市发展和改革局《关于永济沿黄旅游公路改建工程可行性研究报告的批复》，项目估算总投资为32211.0623万元，其中：勘察、设计676.9616万元；建筑、安装工程27078.4599万元；监理676.9615万元。资金来源：除上级补助资金外，剩余部分由市财政按地方政府债券方式筹措解决。</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2）根据2019年5月21日永济市发展和改革局《关于永济沿黄旅游公路改建工程初步设计报告的批复》，该项目初步设计概算总投资30675.8776万元。资金来源：除上级补助资金外，剩余部分由市财政按地方政府债券方式筹措解决。</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2.本次评价对象永济沿黄旅游公路改建工程二三期预算情况</w:t>
      </w:r>
    </w:p>
    <w:p>
      <w:pPr>
        <w:ind w:firstLine="640"/>
      </w:pPr>
      <w:r>
        <w:rPr>
          <w:rFonts w:hint="eastAsia" w:ascii="仿宋_GB2312" w:hAnsi="仿宋_GB2312" w:eastAsia="仿宋_GB2312" w:cs="仿宋_GB2312"/>
          <w:kern w:val="28"/>
          <w:szCs w:val="32"/>
        </w:rPr>
        <w:t>根据2019年9月20日永济市财政投资评审中心（永财预评报〔2019〕第87号）、2020年5月22日永济市财政投资评审中心（永财预评报〔2020〕第39号）、2020年8月21日永济市财政投资评审中心（永财预评报〔2020〕第109、110、111号），该工程包括杨马-万固寺西段和张营-文学段、西敬庄-张营段、雪花山-万固寺东段道路建设费、安全设施费用以及沿黄二期工程安全技术评估报告费用，项目审定金额10504.43万元，其中工程费用10078万元，前期费用413.75万元，安全技术评估报告费12.68万元</w:t>
      </w:r>
      <w:r>
        <w:rPr>
          <w:rFonts w:hint="eastAsia" w:ascii="仿宋_GB2312" w:hAnsi="仿宋_GB2312" w:eastAsia="仿宋_GB2312" w:cs="仿宋_GB2312"/>
          <w:szCs w:val="32"/>
        </w:rPr>
        <w:t>。</w:t>
      </w:r>
      <w:bookmarkEnd w:id="11"/>
      <w:bookmarkStart w:id="12" w:name="_Toc11584"/>
      <w:r>
        <w:rPr>
          <w:rFonts w:hint="eastAsia" w:ascii="仿宋_GB2312" w:hAnsi="仿宋_GB2312" w:eastAsia="仿宋_GB2312" w:cs="仿宋_GB2312"/>
          <w:szCs w:val="32"/>
        </w:rPr>
        <w:t>具体情况如下表所示：</w:t>
      </w:r>
    </w:p>
    <w:p>
      <w:pPr>
        <w:pStyle w:val="2"/>
        <w:ind w:left="0" w:leftChars="0" w:firstLine="0" w:firstLineChars="0"/>
        <w:jc w:val="center"/>
        <w:rPr>
          <w:rFonts w:hint="eastAsia" w:ascii="黑体" w:hAnsi="黑体" w:eastAsia="黑体" w:cs="黑体"/>
          <w:sz w:val="28"/>
          <w:szCs w:val="28"/>
        </w:rPr>
      </w:pPr>
    </w:p>
    <w:p>
      <w:pPr>
        <w:pStyle w:val="2"/>
        <w:ind w:left="0" w:leftChars="0" w:firstLine="0" w:firstLineChars="0"/>
        <w:jc w:val="center"/>
        <w:rPr>
          <w:rFonts w:hint="eastAsia" w:ascii="黑体" w:hAnsi="黑体" w:eastAsia="黑体" w:cs="黑体"/>
          <w:sz w:val="28"/>
          <w:szCs w:val="28"/>
        </w:rPr>
      </w:pPr>
    </w:p>
    <w:p>
      <w:pPr>
        <w:pStyle w:val="2"/>
        <w:ind w:left="0" w:leftChars="0" w:firstLine="0" w:firstLineChars="0"/>
        <w:jc w:val="center"/>
        <w:rPr>
          <w:rFonts w:ascii="黑体" w:hAnsi="黑体" w:eastAsia="黑体" w:cs="黑体"/>
          <w:sz w:val="28"/>
          <w:szCs w:val="28"/>
        </w:rPr>
      </w:pPr>
      <w:r>
        <w:rPr>
          <w:rFonts w:hint="eastAsia" w:ascii="黑体" w:hAnsi="黑体" w:eastAsia="黑体" w:cs="黑体"/>
          <w:sz w:val="28"/>
          <w:szCs w:val="28"/>
        </w:rPr>
        <w:t xml:space="preserve"> 项目财政评审情况</w:t>
      </w:r>
    </w:p>
    <w:p>
      <w:pPr>
        <w:ind w:firstLine="480"/>
        <w:jc w:val="right"/>
        <w:rPr>
          <w:rFonts w:ascii="黑体" w:hAnsi="黑体" w:eastAsia="黑体" w:cs="黑体"/>
          <w:sz w:val="24"/>
        </w:rPr>
      </w:pPr>
      <w:r>
        <w:rPr>
          <w:rFonts w:hint="eastAsia" w:ascii="黑体" w:hAnsi="黑体" w:eastAsia="黑体" w:cs="黑体"/>
          <w:sz w:val="24"/>
        </w:rPr>
        <w:t>金额：万元</w:t>
      </w:r>
    </w:p>
    <w:tbl>
      <w:tblPr>
        <w:tblStyle w:val="15"/>
        <w:tblW w:w="55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113"/>
        <w:gridCol w:w="946"/>
        <w:gridCol w:w="921"/>
        <w:gridCol w:w="936"/>
        <w:gridCol w:w="1144"/>
        <w:gridCol w:w="883"/>
        <w:gridCol w:w="920"/>
        <w:gridCol w:w="900"/>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7" w:type="pct"/>
            <w:vMerge w:val="restar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项目标段</w:t>
            </w:r>
          </w:p>
        </w:tc>
        <w:tc>
          <w:tcPr>
            <w:tcW w:w="545" w:type="pct"/>
            <w:vMerge w:val="restart"/>
            <w:shd w:val="clear" w:color="auto" w:fill="BEBEBE"/>
            <w:noWrap/>
            <w:vAlign w:val="center"/>
          </w:tcPr>
          <w:p>
            <w:pPr>
              <w:widowControl/>
              <w:ind w:firstLine="0" w:firstLineChars="0"/>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工程</w:t>
            </w:r>
          </w:p>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费用</w:t>
            </w:r>
          </w:p>
        </w:tc>
        <w:tc>
          <w:tcPr>
            <w:tcW w:w="2818" w:type="pct"/>
            <w:gridSpan w:val="6"/>
            <w:shd w:val="clear" w:color="auto" w:fill="BEBEBE"/>
            <w:noWrap/>
            <w:vAlign w:val="center"/>
          </w:tcPr>
          <w:p>
            <w:pPr>
              <w:widowControl/>
              <w:ind w:firstLine="0" w:firstLineChars="0"/>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前期费用</w:t>
            </w:r>
          </w:p>
        </w:tc>
        <w:tc>
          <w:tcPr>
            <w:tcW w:w="441" w:type="pct"/>
            <w:vMerge w:val="restar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安全技术评估报告费</w:t>
            </w:r>
          </w:p>
        </w:tc>
        <w:tc>
          <w:tcPr>
            <w:tcW w:w="547" w:type="pct"/>
            <w:vMerge w:val="restar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7" w:type="pct"/>
            <w:vMerge w:val="continue"/>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p>
        </w:tc>
        <w:tc>
          <w:tcPr>
            <w:tcW w:w="545" w:type="pct"/>
            <w:vMerge w:val="continue"/>
            <w:shd w:val="clear" w:color="auto" w:fill="BEBEBE"/>
            <w:noWrap/>
            <w:vAlign w:val="center"/>
          </w:tcPr>
          <w:p>
            <w:pPr>
              <w:widowControl/>
              <w:ind w:firstLine="0" w:firstLineChars="0"/>
              <w:jc w:val="center"/>
              <w:textAlignment w:val="center"/>
              <w:rPr>
                <w:rFonts w:ascii="宋体" w:hAnsi="宋体" w:eastAsia="宋体" w:cs="宋体"/>
                <w:b/>
                <w:bCs/>
                <w:color w:val="000000"/>
                <w:sz w:val="22"/>
                <w:szCs w:val="22"/>
              </w:rPr>
            </w:pPr>
          </w:p>
        </w:tc>
        <w:tc>
          <w:tcPr>
            <w:tcW w:w="463" w:type="pct"/>
            <w:shd w:val="clear" w:color="auto" w:fill="BEBEBE"/>
            <w:noWrap/>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管理费</w:t>
            </w:r>
          </w:p>
        </w:tc>
        <w:tc>
          <w:tcPr>
            <w:tcW w:w="451" w:type="pct"/>
            <w:shd w:val="clear" w:color="auto" w:fill="BEBEBE"/>
            <w:noWrap/>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造价费</w:t>
            </w:r>
          </w:p>
        </w:tc>
        <w:tc>
          <w:tcPr>
            <w:tcW w:w="459" w:type="pct"/>
            <w:shd w:val="clear" w:color="auto" w:fill="BEBEBE"/>
            <w:noWrap/>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监理费</w:t>
            </w:r>
          </w:p>
        </w:tc>
        <w:tc>
          <w:tcPr>
            <w:tcW w:w="561" w:type="pct"/>
            <w:shd w:val="clear" w:color="auto" w:fill="BEBEBE"/>
            <w:noWrap/>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竣工验收检测费</w:t>
            </w:r>
          </w:p>
        </w:tc>
        <w:tc>
          <w:tcPr>
            <w:tcW w:w="433" w:type="pct"/>
            <w:shd w:val="clear" w:color="auto" w:fill="BEBEBE"/>
            <w:noWrap/>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图纸设计费</w:t>
            </w:r>
          </w:p>
        </w:tc>
        <w:tc>
          <w:tcPr>
            <w:tcW w:w="449" w:type="pct"/>
            <w:shd w:val="clear" w:color="auto" w:fill="BEBEBE"/>
            <w:noWrap/>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测量放线费</w:t>
            </w:r>
          </w:p>
        </w:tc>
        <w:tc>
          <w:tcPr>
            <w:tcW w:w="441" w:type="pct"/>
            <w:vMerge w:val="continue"/>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p>
        </w:tc>
        <w:tc>
          <w:tcPr>
            <w:tcW w:w="547" w:type="pct"/>
            <w:vMerge w:val="continue"/>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7" w:type="pct"/>
            <w:noWrap/>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张营-文学、杨马-万固寺西段</w:t>
            </w:r>
          </w:p>
        </w:tc>
        <w:tc>
          <w:tcPr>
            <w:tcW w:w="545" w:type="pct"/>
            <w:noWrap/>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5374.46</w:t>
            </w:r>
          </w:p>
        </w:tc>
        <w:tc>
          <w:tcPr>
            <w:tcW w:w="463" w:type="pct"/>
            <w:noWrap/>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40.00</w:t>
            </w:r>
          </w:p>
        </w:tc>
        <w:tc>
          <w:tcPr>
            <w:tcW w:w="451" w:type="pct"/>
            <w:noWrap/>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11.13</w:t>
            </w:r>
          </w:p>
        </w:tc>
        <w:tc>
          <w:tcPr>
            <w:tcW w:w="459" w:type="pct"/>
            <w:noWrap/>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65.43</w:t>
            </w:r>
          </w:p>
        </w:tc>
        <w:tc>
          <w:tcPr>
            <w:tcW w:w="561" w:type="pct"/>
            <w:noWrap/>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10.22</w:t>
            </w:r>
          </w:p>
        </w:tc>
        <w:tc>
          <w:tcPr>
            <w:tcW w:w="433" w:type="pct"/>
            <w:noWrap/>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86.82</w:t>
            </w:r>
          </w:p>
        </w:tc>
        <w:tc>
          <w:tcPr>
            <w:tcW w:w="449" w:type="pct"/>
            <w:noWrap/>
            <w:vAlign w:val="center"/>
          </w:tcPr>
          <w:p>
            <w:pPr>
              <w:ind w:firstLine="440"/>
              <w:jc w:val="right"/>
              <w:rPr>
                <w:rFonts w:ascii="宋体" w:hAnsi="宋体" w:eastAsia="宋体" w:cs="宋体"/>
                <w:color w:val="000000"/>
                <w:sz w:val="22"/>
                <w:szCs w:val="22"/>
              </w:rPr>
            </w:pPr>
          </w:p>
        </w:tc>
        <w:tc>
          <w:tcPr>
            <w:tcW w:w="441"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color w:val="000000"/>
                <w:kern w:val="0"/>
                <w:sz w:val="22"/>
                <w:szCs w:val="22"/>
                <w:lang w:bidi="ar"/>
              </w:rPr>
              <w:t>12.68</w:t>
            </w:r>
          </w:p>
        </w:tc>
        <w:tc>
          <w:tcPr>
            <w:tcW w:w="547" w:type="pct"/>
            <w:noWrap/>
            <w:vAlign w:val="center"/>
          </w:tcPr>
          <w:p>
            <w:pPr>
              <w:widowControl/>
              <w:ind w:firstLine="0" w:firstLineChars="0"/>
              <w:jc w:val="righ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5600.74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7" w:type="pct"/>
            <w:noWrap/>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西敬庄-张营</w:t>
            </w:r>
          </w:p>
        </w:tc>
        <w:tc>
          <w:tcPr>
            <w:tcW w:w="545"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2165.53</w:t>
            </w:r>
          </w:p>
        </w:tc>
        <w:tc>
          <w:tcPr>
            <w:tcW w:w="463"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5.00</w:t>
            </w:r>
          </w:p>
        </w:tc>
        <w:tc>
          <w:tcPr>
            <w:tcW w:w="451"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7.18</w:t>
            </w:r>
          </w:p>
        </w:tc>
        <w:tc>
          <w:tcPr>
            <w:tcW w:w="459"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29.62</w:t>
            </w:r>
          </w:p>
        </w:tc>
        <w:tc>
          <w:tcPr>
            <w:tcW w:w="561"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3.50</w:t>
            </w:r>
          </w:p>
        </w:tc>
        <w:tc>
          <w:tcPr>
            <w:tcW w:w="433"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42.36</w:t>
            </w:r>
          </w:p>
        </w:tc>
        <w:tc>
          <w:tcPr>
            <w:tcW w:w="449"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1.50</w:t>
            </w:r>
          </w:p>
        </w:tc>
        <w:tc>
          <w:tcPr>
            <w:tcW w:w="441"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p>
        </w:tc>
        <w:tc>
          <w:tcPr>
            <w:tcW w:w="547"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2254.69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7" w:type="pct"/>
            <w:noWrap/>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雪花山-万固寺东段</w:t>
            </w:r>
          </w:p>
        </w:tc>
        <w:tc>
          <w:tcPr>
            <w:tcW w:w="545"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2077.13</w:t>
            </w:r>
          </w:p>
        </w:tc>
        <w:tc>
          <w:tcPr>
            <w:tcW w:w="463"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5.00</w:t>
            </w:r>
          </w:p>
        </w:tc>
        <w:tc>
          <w:tcPr>
            <w:tcW w:w="451"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6.96</w:t>
            </w:r>
          </w:p>
        </w:tc>
        <w:tc>
          <w:tcPr>
            <w:tcW w:w="459"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28.54</w:t>
            </w:r>
          </w:p>
        </w:tc>
        <w:tc>
          <w:tcPr>
            <w:tcW w:w="561"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3.95</w:t>
            </w:r>
          </w:p>
        </w:tc>
        <w:tc>
          <w:tcPr>
            <w:tcW w:w="433"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40.78</w:t>
            </w:r>
          </w:p>
        </w:tc>
        <w:tc>
          <w:tcPr>
            <w:tcW w:w="449"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2.00</w:t>
            </w:r>
          </w:p>
        </w:tc>
        <w:tc>
          <w:tcPr>
            <w:tcW w:w="441"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p>
        </w:tc>
        <w:tc>
          <w:tcPr>
            <w:tcW w:w="547"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2164.36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7" w:type="pct"/>
            <w:noWrap/>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安保</w:t>
            </w:r>
          </w:p>
        </w:tc>
        <w:tc>
          <w:tcPr>
            <w:tcW w:w="545"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460.88</w:t>
            </w:r>
          </w:p>
        </w:tc>
        <w:tc>
          <w:tcPr>
            <w:tcW w:w="463"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2.00</w:t>
            </w:r>
          </w:p>
        </w:tc>
        <w:tc>
          <w:tcPr>
            <w:tcW w:w="451"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1.77</w:t>
            </w:r>
          </w:p>
        </w:tc>
        <w:tc>
          <w:tcPr>
            <w:tcW w:w="459"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8.42</w:t>
            </w:r>
          </w:p>
        </w:tc>
        <w:tc>
          <w:tcPr>
            <w:tcW w:w="561"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0.88</w:t>
            </w:r>
          </w:p>
        </w:tc>
        <w:tc>
          <w:tcPr>
            <w:tcW w:w="433"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10.69</w:t>
            </w:r>
          </w:p>
        </w:tc>
        <w:tc>
          <w:tcPr>
            <w:tcW w:w="449"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p>
        </w:tc>
        <w:tc>
          <w:tcPr>
            <w:tcW w:w="441"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p>
        </w:tc>
        <w:tc>
          <w:tcPr>
            <w:tcW w:w="547"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484.64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7" w:type="pct"/>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c>
          <w:tcPr>
            <w:tcW w:w="545"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10078.00</w:t>
            </w:r>
          </w:p>
        </w:tc>
        <w:tc>
          <w:tcPr>
            <w:tcW w:w="463"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52.00</w:t>
            </w:r>
          </w:p>
        </w:tc>
        <w:tc>
          <w:tcPr>
            <w:tcW w:w="451"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27.04</w:t>
            </w:r>
          </w:p>
        </w:tc>
        <w:tc>
          <w:tcPr>
            <w:tcW w:w="459"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132.01</w:t>
            </w:r>
          </w:p>
        </w:tc>
        <w:tc>
          <w:tcPr>
            <w:tcW w:w="561"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18.55</w:t>
            </w:r>
          </w:p>
        </w:tc>
        <w:tc>
          <w:tcPr>
            <w:tcW w:w="433"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180.65</w:t>
            </w:r>
          </w:p>
        </w:tc>
        <w:tc>
          <w:tcPr>
            <w:tcW w:w="449"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3.50</w:t>
            </w:r>
          </w:p>
        </w:tc>
        <w:tc>
          <w:tcPr>
            <w:tcW w:w="441"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12.68</w:t>
            </w:r>
          </w:p>
        </w:tc>
        <w:tc>
          <w:tcPr>
            <w:tcW w:w="547"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10504.43</w:t>
            </w:r>
          </w:p>
        </w:tc>
      </w:tr>
    </w:tbl>
    <w:p>
      <w:pPr>
        <w:ind w:firstLine="643"/>
        <w:jc w:val="both"/>
        <w:outlineLvl w:val="1"/>
        <w:rPr>
          <w:rFonts w:ascii="仿宋_GB2312" w:hAnsi="仿宋_GB2312" w:eastAsia="仿宋_GB2312" w:cs="仿宋_GB2312"/>
          <w:b/>
          <w:bCs/>
          <w:szCs w:val="32"/>
        </w:rPr>
      </w:pPr>
      <w:r>
        <w:rPr>
          <w:rFonts w:hint="eastAsia" w:ascii="仿宋_GB2312" w:hAnsi="仿宋_GB2312" w:eastAsia="仿宋_GB2312" w:cs="仿宋_GB2312"/>
          <w:b/>
          <w:bCs/>
          <w:szCs w:val="32"/>
        </w:rPr>
        <w:t>（二）资金到位情况</w:t>
      </w:r>
      <w:bookmarkEnd w:id="12"/>
    </w:p>
    <w:p>
      <w:pPr>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rPr>
        <w:t>根据永济市财政局永财建〔2019〕19号、永财预非税指〔2020〕016号等文件，截至2022年8月31日，永济沿黄旅游公路改建工程总项目共计到位财政资金13005.074819万元，其中：省级资金5705万元，市级资金7300.074819万元</w:t>
      </w:r>
      <w:r>
        <w:rPr>
          <w:rFonts w:hint="eastAsia" w:ascii="仿宋_GB2312" w:hAnsi="仿宋_GB2312" w:eastAsia="仿宋_GB2312" w:cs="仿宋_GB2312"/>
          <w:szCs w:val="32"/>
        </w:rPr>
        <w:t>。具体到位情况如下表所示：</w:t>
      </w:r>
    </w:p>
    <w:p>
      <w:pPr>
        <w:spacing w:line="360" w:lineRule="exact"/>
        <w:ind w:firstLine="0" w:firstLineChars="0"/>
        <w:jc w:val="center"/>
        <w:rPr>
          <w:rFonts w:ascii="仿宋" w:hAnsi="仿宋" w:eastAsia="黑体" w:cs="仿宋"/>
          <w:sz w:val="28"/>
          <w:szCs w:val="28"/>
        </w:rPr>
      </w:pPr>
      <w:r>
        <w:rPr>
          <w:rFonts w:hint="eastAsia" w:ascii="黑体" w:hAnsi="黑体" w:eastAsia="黑体" w:cs="黑体"/>
          <w:sz w:val="28"/>
          <w:szCs w:val="28"/>
        </w:rPr>
        <w:t>资金到位情况</w:t>
      </w:r>
    </w:p>
    <w:p>
      <w:pPr>
        <w:spacing w:line="360" w:lineRule="exact"/>
        <w:ind w:firstLine="0" w:firstLineChars="0"/>
        <w:jc w:val="right"/>
        <w:rPr>
          <w:rFonts w:ascii="黑体" w:hAnsi="黑体" w:eastAsia="黑体" w:cs="黑体"/>
          <w:sz w:val="28"/>
          <w:szCs w:val="28"/>
        </w:rPr>
      </w:pPr>
      <w:r>
        <w:rPr>
          <w:rFonts w:hint="eastAsia" w:ascii="黑体" w:hAnsi="黑体" w:eastAsia="黑体" w:cs="黑体"/>
          <w:sz w:val="24"/>
        </w:rPr>
        <w:t xml:space="preserve"> 金额单位：万元</w:t>
      </w:r>
    </w:p>
    <w:tbl>
      <w:tblPr>
        <w:tblStyle w:val="16"/>
        <w:tblW w:w="8930"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275"/>
        <w:gridCol w:w="1170"/>
        <w:gridCol w:w="139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blHeader/>
        </w:trPr>
        <w:tc>
          <w:tcPr>
            <w:tcW w:w="1575" w:type="dxa"/>
            <w:shd w:val="clear" w:color="auto" w:fill="D7D7D7" w:themeFill="background1" w:themeFillShade="D8"/>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时间</w:t>
            </w:r>
          </w:p>
        </w:tc>
        <w:tc>
          <w:tcPr>
            <w:tcW w:w="327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文号</w:t>
            </w:r>
          </w:p>
        </w:tc>
        <w:tc>
          <w:tcPr>
            <w:tcW w:w="1170"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省级资金</w:t>
            </w:r>
          </w:p>
        </w:tc>
        <w:tc>
          <w:tcPr>
            <w:tcW w:w="139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市级资金</w:t>
            </w:r>
          </w:p>
        </w:tc>
        <w:tc>
          <w:tcPr>
            <w:tcW w:w="151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201</w:t>
            </w:r>
            <w:r>
              <w:rPr>
                <w:rFonts w:hint="eastAsia" w:ascii="宋体" w:hAnsi="宋体" w:eastAsia="宋体" w:cs="宋体"/>
                <w:sz w:val="21"/>
                <w:szCs w:val="21"/>
              </w:rPr>
              <w:t>9.</w:t>
            </w:r>
            <w:r>
              <w:rPr>
                <w:rFonts w:ascii="宋体" w:hAnsi="宋体" w:eastAsia="宋体" w:cs="宋体"/>
                <w:sz w:val="21"/>
                <w:szCs w:val="21"/>
              </w:rPr>
              <w:t>5</w:t>
            </w:r>
            <w:r>
              <w:rPr>
                <w:rFonts w:hint="eastAsia" w:ascii="宋体" w:hAnsi="宋体" w:eastAsia="宋体" w:cs="宋体"/>
                <w:sz w:val="21"/>
                <w:szCs w:val="21"/>
              </w:rPr>
              <w:t>.</w:t>
            </w:r>
            <w:r>
              <w:rPr>
                <w:rFonts w:ascii="宋体" w:hAnsi="宋体" w:eastAsia="宋体" w:cs="宋体"/>
                <w:sz w:val="21"/>
                <w:szCs w:val="21"/>
              </w:rPr>
              <w:t>6</w:t>
            </w:r>
          </w:p>
        </w:tc>
        <w:tc>
          <w:tcPr>
            <w:tcW w:w="327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永财建〔2019〕19号</w:t>
            </w:r>
          </w:p>
        </w:tc>
        <w:tc>
          <w:tcPr>
            <w:tcW w:w="1170"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1670.00</w:t>
            </w:r>
          </w:p>
        </w:tc>
        <w:tc>
          <w:tcPr>
            <w:tcW w:w="1395" w:type="dxa"/>
            <w:vAlign w:val="center"/>
          </w:tcPr>
          <w:p>
            <w:pPr>
              <w:spacing w:line="240" w:lineRule="auto"/>
              <w:ind w:firstLine="0" w:firstLineChars="0"/>
              <w:jc w:val="right"/>
              <w:rPr>
                <w:rFonts w:ascii="宋体" w:hAnsi="宋体" w:eastAsia="宋体" w:cs="宋体"/>
                <w:sz w:val="21"/>
                <w:szCs w:val="21"/>
              </w:rPr>
            </w:pP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1670.00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1</w:t>
            </w:r>
            <w:r>
              <w:rPr>
                <w:rFonts w:hint="eastAsia" w:ascii="宋体" w:hAnsi="宋体" w:eastAsia="宋体" w:cs="宋体"/>
                <w:sz w:val="21"/>
                <w:szCs w:val="21"/>
              </w:rPr>
              <w:t>.</w:t>
            </w:r>
            <w:r>
              <w:rPr>
                <w:rFonts w:ascii="宋体" w:hAnsi="宋体" w:eastAsia="宋体" w:cs="宋体"/>
                <w:sz w:val="21"/>
                <w:szCs w:val="21"/>
              </w:rPr>
              <w:t>19</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永财建〔2020〕14号</w:t>
            </w:r>
          </w:p>
        </w:tc>
        <w:tc>
          <w:tcPr>
            <w:tcW w:w="1170"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4035.00 </w:t>
            </w:r>
          </w:p>
        </w:tc>
        <w:tc>
          <w:tcPr>
            <w:tcW w:w="1395" w:type="dxa"/>
            <w:vAlign w:val="center"/>
          </w:tcPr>
          <w:p>
            <w:pPr>
              <w:spacing w:line="240" w:lineRule="auto"/>
              <w:ind w:firstLine="0" w:firstLineChars="0"/>
              <w:jc w:val="right"/>
              <w:rPr>
                <w:rFonts w:ascii="宋体" w:hAnsi="宋体" w:eastAsia="宋体" w:cs="宋体"/>
                <w:sz w:val="21"/>
                <w:szCs w:val="21"/>
              </w:rPr>
            </w:pP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4035.00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2</w:t>
            </w:r>
            <w:r>
              <w:rPr>
                <w:rFonts w:hint="eastAsia" w:ascii="宋体" w:hAnsi="宋体" w:eastAsia="宋体" w:cs="宋体"/>
                <w:sz w:val="21"/>
                <w:szCs w:val="21"/>
              </w:rPr>
              <w:t>.</w:t>
            </w:r>
            <w:r>
              <w:rPr>
                <w:rFonts w:ascii="宋体" w:hAnsi="宋体" w:eastAsia="宋体" w:cs="宋体"/>
                <w:sz w:val="21"/>
                <w:szCs w:val="21"/>
              </w:rPr>
              <w:t>28</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永财预非税指〔2020〕016号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1110.97643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1110.97643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4</w:t>
            </w:r>
            <w:r>
              <w:rPr>
                <w:rFonts w:hint="eastAsia" w:ascii="宋体" w:hAnsi="宋体" w:eastAsia="宋体" w:cs="宋体"/>
                <w:sz w:val="21"/>
                <w:szCs w:val="21"/>
              </w:rPr>
              <w:t>.</w:t>
            </w:r>
            <w:r>
              <w:rPr>
                <w:rFonts w:ascii="宋体" w:hAnsi="宋体" w:eastAsia="宋体" w:cs="宋体"/>
                <w:sz w:val="21"/>
                <w:szCs w:val="21"/>
              </w:rPr>
              <w:t>13</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永财预非税指〔2020〕032号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105.81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105.81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9</w:t>
            </w:r>
            <w:r>
              <w:rPr>
                <w:rFonts w:hint="eastAsia" w:ascii="宋体" w:hAnsi="宋体" w:eastAsia="宋体" w:cs="宋体"/>
                <w:sz w:val="21"/>
                <w:szCs w:val="21"/>
              </w:rPr>
              <w:t>.</w:t>
            </w:r>
            <w:r>
              <w:rPr>
                <w:rFonts w:ascii="宋体" w:hAnsi="宋体" w:eastAsia="宋体" w:cs="宋体"/>
                <w:sz w:val="21"/>
                <w:szCs w:val="21"/>
              </w:rPr>
              <w:t>15</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永财预非税指〔2020〕095/96号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61.50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61.50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9</w:t>
            </w:r>
            <w:r>
              <w:rPr>
                <w:rFonts w:hint="eastAsia" w:ascii="宋体" w:hAnsi="宋体" w:eastAsia="宋体" w:cs="宋体"/>
                <w:sz w:val="21"/>
                <w:szCs w:val="21"/>
              </w:rPr>
              <w:t>.</w:t>
            </w:r>
            <w:r>
              <w:rPr>
                <w:rFonts w:ascii="宋体" w:hAnsi="宋体" w:eastAsia="宋体" w:cs="宋体"/>
                <w:sz w:val="21"/>
                <w:szCs w:val="21"/>
              </w:rPr>
              <w:t>21</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永财预〔2020〕012号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1000.00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2021</w:t>
            </w:r>
            <w:r>
              <w:rPr>
                <w:rFonts w:hint="eastAsia" w:ascii="宋体" w:hAnsi="宋体" w:eastAsia="宋体" w:cs="宋体"/>
                <w:sz w:val="21"/>
                <w:szCs w:val="21"/>
              </w:rPr>
              <w:t>.</w:t>
            </w:r>
            <w:r>
              <w:rPr>
                <w:rFonts w:ascii="宋体" w:hAnsi="宋体" w:eastAsia="宋体" w:cs="宋体"/>
                <w:sz w:val="21"/>
                <w:szCs w:val="21"/>
              </w:rPr>
              <w:t>2</w:t>
            </w:r>
            <w:r>
              <w:rPr>
                <w:rFonts w:hint="eastAsia" w:ascii="宋体" w:hAnsi="宋体" w:eastAsia="宋体" w:cs="宋体"/>
                <w:sz w:val="21"/>
                <w:szCs w:val="21"/>
              </w:rPr>
              <w:t>.</w:t>
            </w:r>
            <w:r>
              <w:rPr>
                <w:rFonts w:ascii="宋体" w:hAnsi="宋体" w:eastAsia="宋体" w:cs="宋体"/>
                <w:sz w:val="21"/>
                <w:szCs w:val="21"/>
              </w:rPr>
              <w:t>8</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永财预非税指〔2021〕008号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1205.217189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1205.217189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2021</w:t>
            </w:r>
            <w:r>
              <w:rPr>
                <w:rFonts w:hint="eastAsia" w:ascii="宋体" w:hAnsi="宋体" w:eastAsia="宋体" w:cs="宋体"/>
                <w:sz w:val="21"/>
                <w:szCs w:val="21"/>
              </w:rPr>
              <w:t>.</w:t>
            </w:r>
            <w:r>
              <w:rPr>
                <w:rFonts w:ascii="宋体" w:hAnsi="宋体" w:eastAsia="宋体" w:cs="宋体"/>
                <w:sz w:val="21"/>
                <w:szCs w:val="21"/>
              </w:rPr>
              <w:t>6</w:t>
            </w:r>
            <w:r>
              <w:rPr>
                <w:rFonts w:hint="eastAsia" w:ascii="宋体" w:hAnsi="宋体" w:eastAsia="宋体" w:cs="宋体"/>
                <w:sz w:val="21"/>
                <w:szCs w:val="21"/>
              </w:rPr>
              <w:t>.</w:t>
            </w:r>
            <w:r>
              <w:rPr>
                <w:rFonts w:ascii="宋体" w:hAnsi="宋体" w:eastAsia="宋体" w:cs="宋体"/>
                <w:sz w:val="21"/>
                <w:szCs w:val="21"/>
              </w:rPr>
              <w:t>28</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永财预〔2021〕004号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3600.00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2021</w:t>
            </w:r>
            <w:r>
              <w:rPr>
                <w:rFonts w:hint="eastAsia" w:ascii="宋体" w:hAnsi="宋体" w:eastAsia="宋体" w:cs="宋体"/>
                <w:sz w:val="21"/>
                <w:szCs w:val="21"/>
              </w:rPr>
              <w:t>.</w:t>
            </w:r>
            <w:r>
              <w:rPr>
                <w:rFonts w:ascii="宋体" w:hAnsi="宋体" w:eastAsia="宋体" w:cs="宋体"/>
                <w:sz w:val="21"/>
                <w:szCs w:val="21"/>
              </w:rPr>
              <w:t>6</w:t>
            </w:r>
            <w:r>
              <w:rPr>
                <w:rFonts w:hint="eastAsia" w:ascii="宋体" w:hAnsi="宋体" w:eastAsia="宋体" w:cs="宋体"/>
                <w:sz w:val="21"/>
                <w:szCs w:val="21"/>
              </w:rPr>
              <w:t>.</w:t>
            </w:r>
            <w:r>
              <w:rPr>
                <w:rFonts w:ascii="宋体" w:hAnsi="宋体" w:eastAsia="宋体" w:cs="宋体"/>
                <w:sz w:val="21"/>
                <w:szCs w:val="21"/>
              </w:rPr>
              <w:t>29</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永财预非税指〔2021〕067号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95.9459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95.9459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2022</w:t>
            </w:r>
            <w:r>
              <w:rPr>
                <w:rFonts w:hint="eastAsia" w:ascii="宋体" w:hAnsi="宋体" w:eastAsia="宋体" w:cs="宋体"/>
                <w:sz w:val="21"/>
                <w:szCs w:val="21"/>
              </w:rPr>
              <w:t>.</w:t>
            </w:r>
            <w:r>
              <w:rPr>
                <w:rFonts w:ascii="宋体" w:hAnsi="宋体" w:eastAsia="宋体" w:cs="宋体"/>
                <w:sz w:val="21"/>
                <w:szCs w:val="21"/>
              </w:rPr>
              <w:t>4</w:t>
            </w:r>
            <w:r>
              <w:rPr>
                <w:rFonts w:hint="eastAsia" w:ascii="宋体" w:hAnsi="宋体" w:eastAsia="宋体" w:cs="宋体"/>
                <w:sz w:val="21"/>
                <w:szCs w:val="21"/>
              </w:rPr>
              <w:t>.</w:t>
            </w:r>
            <w:r>
              <w:rPr>
                <w:rFonts w:ascii="宋体" w:hAnsi="宋体" w:eastAsia="宋体" w:cs="宋体"/>
                <w:sz w:val="21"/>
                <w:szCs w:val="21"/>
              </w:rPr>
              <w:t>25</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永财预非税指〔2022〕021号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120.6253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120.6253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850" w:type="dxa"/>
            <w:gridSpan w:val="2"/>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 计</w:t>
            </w:r>
          </w:p>
        </w:tc>
        <w:tc>
          <w:tcPr>
            <w:tcW w:w="1170" w:type="dxa"/>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5705.00</w:t>
            </w:r>
          </w:p>
        </w:tc>
        <w:tc>
          <w:tcPr>
            <w:tcW w:w="1395" w:type="dxa"/>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7300.074819</w:t>
            </w:r>
          </w:p>
        </w:tc>
        <w:tc>
          <w:tcPr>
            <w:tcW w:w="1515"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13005.074819</w:t>
            </w:r>
          </w:p>
        </w:tc>
      </w:tr>
    </w:tbl>
    <w:p>
      <w:pPr>
        <w:ind w:firstLine="643"/>
        <w:jc w:val="both"/>
        <w:outlineLvl w:val="1"/>
        <w:rPr>
          <w:rFonts w:ascii="仿宋_GB2312" w:hAnsi="仿宋_GB2312" w:eastAsia="仿宋_GB2312" w:cs="仿宋_GB2312"/>
          <w:b/>
          <w:bCs/>
          <w:szCs w:val="32"/>
        </w:rPr>
      </w:pPr>
      <w:bookmarkStart w:id="13" w:name="_Toc7758"/>
      <w:r>
        <w:rPr>
          <w:rFonts w:hint="eastAsia" w:ascii="仿宋_GB2312" w:hAnsi="仿宋_GB2312" w:eastAsia="仿宋_GB2312" w:cs="仿宋_GB2312"/>
          <w:b/>
          <w:bCs/>
          <w:szCs w:val="32"/>
        </w:rPr>
        <w:t>（三）资金使用情况</w:t>
      </w:r>
      <w:bookmarkEnd w:id="13"/>
    </w:p>
    <w:p>
      <w:pPr>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rPr>
        <w:t>截至2022年8月31日，本次评价的永济沿黄旅游公路改建工程二三期累计支出资金11682.056426万元，园林及绿化累计支出1043.106033万元（为永济沿黄旅游公路改建工程总项目中的子项目，不包含在本次评价中），财政收回52.289069万元，单位结余财政资金227.623291万元</w:t>
      </w:r>
      <w:r>
        <w:rPr>
          <w:rFonts w:hint="eastAsia" w:ascii="仿宋_GB2312" w:hAnsi="仿宋_GB2312" w:eastAsia="仿宋_GB2312" w:cs="仿宋_GB2312"/>
          <w:szCs w:val="32"/>
        </w:rPr>
        <w:t>。具体支出情况如下表所示：</w:t>
      </w:r>
    </w:p>
    <w:p>
      <w:pPr>
        <w:spacing w:line="360" w:lineRule="exact"/>
        <w:ind w:firstLine="0" w:firstLineChars="0"/>
        <w:jc w:val="center"/>
        <w:rPr>
          <w:rFonts w:ascii="黑体" w:hAnsi="黑体" w:eastAsia="黑体" w:cs="黑体"/>
          <w:sz w:val="24"/>
        </w:rPr>
      </w:pPr>
      <w:r>
        <w:rPr>
          <w:rFonts w:hint="eastAsia" w:ascii="黑体" w:hAnsi="黑体" w:eastAsia="黑体" w:cs="黑体"/>
          <w:sz w:val="28"/>
          <w:szCs w:val="28"/>
        </w:rPr>
        <w:t>资金使用情况</w:t>
      </w:r>
    </w:p>
    <w:tbl>
      <w:tblPr>
        <w:tblStyle w:val="15"/>
        <w:tblW w:w="48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1"/>
        <w:gridCol w:w="1938"/>
        <w:gridCol w:w="1881"/>
        <w:gridCol w:w="1683"/>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bookmarkStart w:id="14" w:name="_Toc27202"/>
            <w:r>
              <w:rPr>
                <w:rFonts w:hint="eastAsia" w:cs="宋体"/>
                <w:b/>
                <w:bCs/>
                <w:sz w:val="21"/>
                <w:szCs w:val="21"/>
              </w:rPr>
              <w:t>项目标段</w:t>
            </w:r>
          </w:p>
        </w:tc>
        <w:tc>
          <w:tcPr>
            <w:tcW w:w="1078" w:type="pc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合同价        （万元）</w:t>
            </w:r>
          </w:p>
        </w:tc>
        <w:tc>
          <w:tcPr>
            <w:tcW w:w="1047" w:type="pc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已付价款     （万元）</w:t>
            </w:r>
          </w:p>
        </w:tc>
        <w:tc>
          <w:tcPr>
            <w:tcW w:w="937" w:type="pc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未付价款   （万元）</w:t>
            </w:r>
          </w:p>
        </w:tc>
        <w:tc>
          <w:tcPr>
            <w:tcW w:w="601" w:type="pc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支付率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张营-黄龙</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886.6235</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751.85675</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134.76675</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黄龙-大鸳鸯</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1085.2383</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922.45159</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162.78671</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大鸳鸯-南苏</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1008.3951</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775.11743</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233.27767</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南苏-太吕</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903.8668</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756.36244</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147.50436</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太吕-韩家庄</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871.2698</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735.0381</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136.2317</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杨马-万固寺西段</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613.0105</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545.6674</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67.3431</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西敬庄-张营</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2165.0058</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1830.3077</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334.6981</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雪花山-万固寺东段（1）</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1416.4819</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1331.0916</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85.3903</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雪花山-万固寺东段（2）</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659.1927</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557.84941</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101.34329</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安保</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459.9006</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390.91548</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68.98512</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监理</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131.16</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124.58</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6.58</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土地征用及拆迁补偿费</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2447.78575</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2447.78575</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检测费</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18.15</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18.15</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勘察设计费</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506.389</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440.3688</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66.0202</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技术评估费</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12.68</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12.68</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造价费</w:t>
            </w:r>
          </w:p>
        </w:tc>
        <w:tc>
          <w:tcPr>
            <w:tcW w:w="1938"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27.04</w:t>
            </w:r>
          </w:p>
        </w:tc>
        <w:tc>
          <w:tcPr>
            <w:tcW w:w="1882"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27.04</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管理费</w:t>
            </w:r>
          </w:p>
        </w:tc>
        <w:tc>
          <w:tcPr>
            <w:tcW w:w="1938"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14.793976</w:t>
            </w:r>
          </w:p>
        </w:tc>
        <w:tc>
          <w:tcPr>
            <w:tcW w:w="1882"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14.793976</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c>
          <w:tcPr>
            <w:tcW w:w="1938" w:type="dxa"/>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13226.983726</w:t>
            </w:r>
          </w:p>
        </w:tc>
        <w:tc>
          <w:tcPr>
            <w:tcW w:w="1882" w:type="dxa"/>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11682.056426</w:t>
            </w:r>
          </w:p>
        </w:tc>
        <w:tc>
          <w:tcPr>
            <w:tcW w:w="937" w:type="pct"/>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1544.9273</w:t>
            </w:r>
          </w:p>
        </w:tc>
        <w:tc>
          <w:tcPr>
            <w:tcW w:w="601" w:type="pct"/>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88.32%</w:t>
            </w:r>
          </w:p>
        </w:tc>
      </w:tr>
    </w:tbl>
    <w:p>
      <w:pPr>
        <w:pStyle w:val="5"/>
        <w:ind w:firstLine="643"/>
        <w:rPr>
          <w:b w:val="0"/>
          <w:bCs/>
        </w:rPr>
      </w:pPr>
      <w:r>
        <w:rPr>
          <w:rFonts w:hint="eastAsia"/>
        </w:rPr>
        <w:t>四、项目绩效目标</w:t>
      </w:r>
      <w:bookmarkEnd w:id="14"/>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根据项目绩效目标申报表等相关资料，评价组梳理出以下绩效目标：</w:t>
      </w:r>
    </w:p>
    <w:p>
      <w:pPr>
        <w:ind w:firstLine="643"/>
        <w:jc w:val="both"/>
        <w:rPr>
          <w:rFonts w:ascii="仿宋_GB2312" w:hAnsi="仿宋_GB2312" w:eastAsia="仿宋_GB2312" w:cs="仿宋_GB2312"/>
          <w:b/>
          <w:bCs/>
          <w:szCs w:val="32"/>
        </w:rPr>
      </w:pPr>
      <w:bookmarkStart w:id="15" w:name="_Toc29181"/>
      <w:r>
        <w:rPr>
          <w:rFonts w:hint="eastAsia" w:ascii="仿宋_GB2312" w:hAnsi="仿宋_GB2312" w:eastAsia="仿宋_GB2312" w:cs="仿宋_GB2312"/>
          <w:b/>
          <w:bCs/>
          <w:szCs w:val="32"/>
        </w:rPr>
        <w:t>（一）项目绩效总目标</w:t>
      </w:r>
      <w:bookmarkEnd w:id="15"/>
    </w:p>
    <w:p>
      <w:pPr>
        <w:ind w:firstLine="640"/>
        <w:jc w:val="both"/>
        <w:rPr>
          <w:rFonts w:ascii="仿宋_GB2312" w:hAnsi="仿宋_GB2312" w:eastAsia="仿宋_GB2312" w:cs="仿宋_GB2312"/>
          <w:szCs w:val="32"/>
        </w:rPr>
      </w:pPr>
      <w:r>
        <w:rPr>
          <w:rFonts w:hint="eastAsia" w:ascii="Times New Roman" w:hAnsi="Times New Roman" w:eastAsia="仿宋_GB2312"/>
          <w:szCs w:val="32"/>
        </w:rPr>
        <w:t>进一步完善永济市的旅游公路，改善基础设施、生产运输条件，为沿线地区经济社会发展提供优质的交通服务，促进永济市经济和旅游业的发展，把旅游公路建设与本地旅游资源深度融合，有效串联沿线旅游景点，改善交通面貌的同时助力当地经济发展，带动富民增收，改善人民的生活环境</w:t>
      </w:r>
      <w:r>
        <w:rPr>
          <w:rFonts w:hint="eastAsia" w:ascii="仿宋_GB2312" w:hAnsi="仿宋_GB2312" w:eastAsia="仿宋_GB2312" w:cs="仿宋_GB2312"/>
          <w:szCs w:val="32"/>
        </w:rPr>
        <w:t>。</w:t>
      </w:r>
    </w:p>
    <w:p>
      <w:pPr>
        <w:ind w:firstLine="643"/>
        <w:jc w:val="both"/>
        <w:rPr>
          <w:rFonts w:ascii="仿宋_GB2312" w:hAnsi="仿宋_GB2312" w:eastAsia="仿宋_GB2312" w:cs="仿宋_GB2312"/>
          <w:b/>
          <w:bCs/>
          <w:szCs w:val="32"/>
        </w:rPr>
      </w:pPr>
      <w:bookmarkStart w:id="16" w:name="_Toc32052"/>
      <w:r>
        <w:rPr>
          <w:rFonts w:hint="eastAsia" w:ascii="仿宋_GB2312" w:hAnsi="仿宋_GB2312" w:eastAsia="仿宋_GB2312" w:cs="仿宋_GB2312"/>
          <w:b/>
          <w:bCs/>
          <w:szCs w:val="32"/>
        </w:rPr>
        <w:t>（二）项目绩效指标</w:t>
      </w:r>
      <w:bookmarkEnd w:id="16"/>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1.产出指标</w:t>
      </w:r>
    </w:p>
    <w:tbl>
      <w:tblPr>
        <w:tblStyle w:val="15"/>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7"/>
        <w:gridCol w:w="2565"/>
        <w:gridCol w:w="786"/>
        <w:gridCol w:w="241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327" w:type="dxa"/>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项目名称</w:t>
            </w:r>
          </w:p>
        </w:tc>
        <w:tc>
          <w:tcPr>
            <w:tcW w:w="2565" w:type="dxa"/>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数量指标</w:t>
            </w:r>
          </w:p>
        </w:tc>
        <w:tc>
          <w:tcPr>
            <w:tcW w:w="786" w:type="dxa"/>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质量 指标</w:t>
            </w:r>
          </w:p>
        </w:tc>
        <w:tc>
          <w:tcPr>
            <w:tcW w:w="2415" w:type="dxa"/>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时效指标</w:t>
            </w:r>
          </w:p>
        </w:tc>
        <w:tc>
          <w:tcPr>
            <w:tcW w:w="855" w:type="dxa"/>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成本  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blHeader/>
          <w:jc w:val="center"/>
        </w:trPr>
        <w:tc>
          <w:tcPr>
            <w:tcW w:w="2327"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张营至文学段</w:t>
            </w:r>
          </w:p>
        </w:tc>
        <w:tc>
          <w:tcPr>
            <w:tcW w:w="256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道路长17.178千米。</w:t>
            </w:r>
          </w:p>
        </w:tc>
        <w:tc>
          <w:tcPr>
            <w:tcW w:w="786"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2019.12.1-2020.11.30共计365日历天</w:t>
            </w:r>
          </w:p>
        </w:tc>
        <w:tc>
          <w:tcPr>
            <w:tcW w:w="85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327"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杨马至万固寺段</w:t>
            </w:r>
          </w:p>
        </w:tc>
        <w:tc>
          <w:tcPr>
            <w:tcW w:w="256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道路长3.27千米。</w:t>
            </w:r>
          </w:p>
        </w:tc>
        <w:tc>
          <w:tcPr>
            <w:tcW w:w="786"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2019.12.1-2020.11.30共计365日历天</w:t>
            </w:r>
          </w:p>
        </w:tc>
        <w:tc>
          <w:tcPr>
            <w:tcW w:w="85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327"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西敬庄至张营段</w:t>
            </w:r>
          </w:p>
        </w:tc>
        <w:tc>
          <w:tcPr>
            <w:tcW w:w="256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道路长6.227千米。</w:t>
            </w:r>
          </w:p>
        </w:tc>
        <w:tc>
          <w:tcPr>
            <w:tcW w:w="786"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2020.10.20-2021.7.20共计270日历天</w:t>
            </w:r>
          </w:p>
        </w:tc>
        <w:tc>
          <w:tcPr>
            <w:tcW w:w="85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jc w:val="center"/>
        </w:trPr>
        <w:tc>
          <w:tcPr>
            <w:tcW w:w="2327"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雪花山至万固寺东段（一标）</w:t>
            </w:r>
          </w:p>
        </w:tc>
        <w:tc>
          <w:tcPr>
            <w:tcW w:w="256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道路长4.725千米。</w:t>
            </w:r>
          </w:p>
        </w:tc>
        <w:tc>
          <w:tcPr>
            <w:tcW w:w="786"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2020.10.20-2021.7.20共计270日历天</w:t>
            </w:r>
          </w:p>
        </w:tc>
        <w:tc>
          <w:tcPr>
            <w:tcW w:w="85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blHeader/>
          <w:jc w:val="center"/>
        </w:trPr>
        <w:tc>
          <w:tcPr>
            <w:tcW w:w="2327"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雪花山至万固寺东段（二标）</w:t>
            </w:r>
          </w:p>
        </w:tc>
        <w:tc>
          <w:tcPr>
            <w:tcW w:w="256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道路长4.739千米。</w:t>
            </w:r>
          </w:p>
        </w:tc>
        <w:tc>
          <w:tcPr>
            <w:tcW w:w="786"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2020.10.20-2021.7.20共计275日历天</w:t>
            </w:r>
          </w:p>
        </w:tc>
        <w:tc>
          <w:tcPr>
            <w:tcW w:w="85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327"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安保</w:t>
            </w:r>
          </w:p>
        </w:tc>
        <w:tc>
          <w:tcPr>
            <w:tcW w:w="256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波形护栏16460米、交通标志144块、交通标线8838.3平方米、里程碑20个、百米桩185个。</w:t>
            </w:r>
          </w:p>
        </w:tc>
        <w:tc>
          <w:tcPr>
            <w:tcW w:w="786"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合格</w:t>
            </w:r>
          </w:p>
        </w:tc>
        <w:tc>
          <w:tcPr>
            <w:tcW w:w="241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2020.10.20-2021.7.20共计275日历天</w:t>
            </w:r>
          </w:p>
        </w:tc>
        <w:tc>
          <w:tcPr>
            <w:tcW w:w="85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bl>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2.效益指标</w:t>
      </w:r>
    </w:p>
    <w:p>
      <w:pPr>
        <w:pStyle w:val="11"/>
        <w:spacing w:line="600" w:lineRule="exact"/>
        <w:ind w:firstLine="640"/>
        <w:rPr>
          <w:rFonts w:ascii="Times New Roman" w:hAnsi="Times New Roman" w:eastAsia="仿宋_GB2312"/>
          <w:szCs w:val="32"/>
        </w:rPr>
      </w:pPr>
      <w:r>
        <w:rPr>
          <w:rFonts w:hint="eastAsia" w:ascii="Times New Roman" w:hAnsi="Times New Roman" w:eastAsia="仿宋_GB2312"/>
          <w:szCs w:val="32"/>
        </w:rPr>
        <w:t>社会效益：改善交通路网情况；促进旅游业发展。</w:t>
      </w:r>
    </w:p>
    <w:p>
      <w:pPr>
        <w:pStyle w:val="11"/>
        <w:spacing w:line="600" w:lineRule="exact"/>
        <w:ind w:firstLine="640"/>
        <w:rPr>
          <w:rFonts w:ascii="Times New Roman" w:hAnsi="Times New Roman" w:eastAsia="仿宋_GB2312"/>
          <w:szCs w:val="32"/>
        </w:rPr>
      </w:pPr>
      <w:r>
        <w:rPr>
          <w:rFonts w:hint="eastAsia" w:ascii="Times New Roman" w:hAnsi="Times New Roman" w:eastAsia="仿宋_GB2312"/>
          <w:szCs w:val="32"/>
        </w:rPr>
        <w:t>经济效益：促进经济发展。</w:t>
      </w:r>
    </w:p>
    <w:p>
      <w:pPr>
        <w:pStyle w:val="11"/>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生态效益：美化环境。</w:t>
      </w:r>
    </w:p>
    <w:p>
      <w:pPr>
        <w:pStyle w:val="11"/>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可持续影响：项目具有可持续利用性。</w:t>
      </w:r>
    </w:p>
    <w:p>
      <w:pPr>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rPr>
        <w:t>满意度：受益群众满意度≥96%</w:t>
      </w:r>
      <w:r>
        <w:rPr>
          <w:rFonts w:hint="eastAsia" w:ascii="仿宋_GB2312" w:hAnsi="仿宋_GB2312" w:eastAsia="仿宋_GB2312" w:cs="仿宋_GB2312"/>
          <w:szCs w:val="32"/>
        </w:rPr>
        <w:t>。</w:t>
      </w:r>
    </w:p>
    <w:p>
      <w:pPr>
        <w:pStyle w:val="5"/>
        <w:ind w:firstLine="643"/>
      </w:pPr>
      <w:bookmarkStart w:id="17" w:name="_Toc1219"/>
      <w:r>
        <w:rPr>
          <w:rFonts w:hint="eastAsia"/>
        </w:rPr>
        <w:t>五、评价结论</w:t>
      </w:r>
      <w:bookmarkEnd w:id="17"/>
    </w:p>
    <w:p>
      <w:pPr>
        <w:ind w:firstLine="640"/>
        <w:rPr>
          <w:rFonts w:ascii="仿宋_GB2312" w:hAnsi="仿宋_GB2312" w:eastAsia="仿宋_GB2312" w:cs="仿宋_GB2312"/>
          <w:sz w:val="28"/>
          <w:szCs w:val="28"/>
        </w:rPr>
      </w:pPr>
      <w:bookmarkStart w:id="18" w:name="_Toc16918"/>
      <w:bookmarkStart w:id="19" w:name="_Toc13494"/>
      <w:bookmarkStart w:id="20" w:name="_Toc23688"/>
      <w:bookmarkStart w:id="21" w:name="_Toc7937"/>
      <w:r>
        <w:rPr>
          <w:rFonts w:hint="eastAsia" w:ascii="仿宋_GB2312" w:hAnsi="仿宋_GB2312" w:eastAsia="仿宋_GB2312" w:cs="仿宋_GB2312"/>
          <w:szCs w:val="32"/>
        </w:rPr>
        <w:t>经评价，</w:t>
      </w:r>
      <w:r>
        <w:rPr>
          <w:rFonts w:hint="eastAsia" w:ascii="仿宋_GB2312" w:hAnsi="仿宋_GB2312" w:eastAsia="仿宋_GB2312" w:cs="仿宋_GB2312"/>
          <w:kern w:val="28"/>
          <w:szCs w:val="32"/>
        </w:rPr>
        <w:t>永济沿黄旅游公路改建工程</w:t>
      </w:r>
      <w:r>
        <w:rPr>
          <w:rFonts w:hint="eastAsia" w:ascii="仿宋_GB2312" w:hAnsi="仿宋_GB2312" w:eastAsia="仿宋_GB2312" w:cs="仿宋_GB2312"/>
          <w:szCs w:val="32"/>
        </w:rPr>
        <w:t>项目综合评价得分8</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.03分，绩效评价等级为“良”。具体分值和得分情况如下表所示：</w:t>
      </w:r>
    </w:p>
    <w:p>
      <w:pPr>
        <w:ind w:firstLine="560"/>
        <w:jc w:val="center"/>
        <w:rPr>
          <w:rFonts w:ascii="黑体" w:hAnsi="黑体" w:eastAsia="黑体" w:cs="黑体"/>
          <w:sz w:val="28"/>
          <w:szCs w:val="28"/>
        </w:rPr>
      </w:pPr>
      <w:bookmarkStart w:id="22" w:name="_Toc299"/>
      <w:r>
        <w:rPr>
          <w:rFonts w:hint="eastAsia" w:ascii="黑体" w:hAnsi="黑体" w:eastAsia="黑体" w:cs="黑体"/>
          <w:sz w:val="28"/>
          <w:szCs w:val="28"/>
        </w:rPr>
        <w:t>项目绩效评价得分情况</w:t>
      </w:r>
      <w:bookmarkEnd w:id="22"/>
    </w:p>
    <w:tbl>
      <w:tblPr>
        <w:tblStyle w:val="16"/>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2175"/>
        <w:gridCol w:w="223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w:t>
            </w:r>
          </w:p>
        </w:tc>
        <w:tc>
          <w:tcPr>
            <w:tcW w:w="217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223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223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A决策</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20</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B过程</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.21</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76.05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C产出</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22.4</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74.67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D效益</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26.42</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88.07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合计</w:t>
            </w:r>
          </w:p>
        </w:tc>
        <w:tc>
          <w:tcPr>
            <w:tcW w:w="2175"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100</w:t>
            </w:r>
          </w:p>
        </w:tc>
        <w:tc>
          <w:tcPr>
            <w:tcW w:w="2235"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rPr>
              <w:t>8</w:t>
            </w:r>
            <w:r>
              <w:rPr>
                <w:rFonts w:hint="eastAsia" w:ascii="宋体" w:hAnsi="宋体" w:eastAsia="宋体" w:cs="宋体"/>
                <w:b/>
                <w:bCs/>
                <w:color w:val="000000"/>
                <w:kern w:val="0"/>
                <w:sz w:val="21"/>
                <w:szCs w:val="21"/>
                <w:lang w:val="en-US" w:eastAsia="zh-CN"/>
              </w:rPr>
              <w:t>4</w:t>
            </w:r>
            <w:r>
              <w:rPr>
                <w:rFonts w:hint="eastAsia" w:ascii="宋体" w:hAnsi="宋体" w:eastAsia="宋体" w:cs="宋体"/>
                <w:b/>
                <w:bCs/>
                <w:color w:val="000000"/>
                <w:kern w:val="0"/>
                <w:sz w:val="21"/>
                <w:szCs w:val="21"/>
              </w:rPr>
              <w:t>.03</w:t>
            </w:r>
          </w:p>
        </w:tc>
        <w:tc>
          <w:tcPr>
            <w:tcW w:w="2235"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rPr>
              <w:t>8</w:t>
            </w:r>
            <w:r>
              <w:rPr>
                <w:rFonts w:hint="eastAsia" w:ascii="宋体" w:hAnsi="宋体" w:eastAsia="宋体" w:cs="宋体"/>
                <w:b/>
                <w:bCs/>
                <w:color w:val="000000"/>
                <w:kern w:val="0"/>
                <w:sz w:val="21"/>
                <w:szCs w:val="21"/>
                <w:lang w:val="en-US" w:eastAsia="zh-CN"/>
              </w:rPr>
              <w:t>4</w:t>
            </w:r>
            <w:r>
              <w:rPr>
                <w:rFonts w:hint="eastAsia" w:ascii="宋体" w:hAnsi="宋体" w:eastAsia="宋体" w:cs="宋体"/>
                <w:b/>
                <w:bCs/>
                <w:color w:val="000000"/>
                <w:kern w:val="0"/>
                <w:sz w:val="21"/>
                <w:szCs w:val="21"/>
              </w:rPr>
              <w:t>.03</w:t>
            </w:r>
          </w:p>
        </w:tc>
      </w:tr>
      <w:bookmarkEnd w:id="18"/>
      <w:bookmarkEnd w:id="19"/>
      <w:bookmarkEnd w:id="20"/>
      <w:bookmarkEnd w:id="21"/>
    </w:tbl>
    <w:p>
      <w:pPr>
        <w:pStyle w:val="5"/>
        <w:ind w:firstLine="643"/>
      </w:pPr>
      <w:bookmarkStart w:id="23" w:name="_Toc26279"/>
      <w:r>
        <w:rPr>
          <w:rFonts w:hint="eastAsia"/>
        </w:rPr>
        <w:t>六、主要经验与做法</w:t>
      </w:r>
      <w:bookmarkEnd w:id="23"/>
    </w:p>
    <w:p>
      <w:pPr>
        <w:ind w:firstLine="643"/>
      </w:pPr>
      <w:r>
        <w:rPr>
          <w:rFonts w:hint="eastAsia" w:ascii="Arial" w:hAnsi="Arial" w:eastAsia="楷体" w:cstheme="minorBidi"/>
          <w:b/>
        </w:rPr>
        <w:t>（一）规范建设，严格管理</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永济市交通运输局成立了永济沿黄旅游公路改建工程项目指挥部，明确了各人员的工作职责及分工，严格按照项目相关管理规定执行，促进项目规范建设。</w:t>
      </w:r>
    </w:p>
    <w:p>
      <w:pPr>
        <w:ind w:firstLine="643"/>
      </w:pPr>
      <w:r>
        <w:rPr>
          <w:rFonts w:hint="eastAsia" w:ascii="Arial" w:hAnsi="Arial" w:eastAsia="楷体" w:cstheme="minorBidi"/>
          <w:b/>
        </w:rPr>
        <w:t>（二）强化监管，确保质量</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永济市交通运输局为该项目聘请了监理单位，监理单位严格按照相关政策要求，对项目质量、施工单位的安全生产情况进行全程监督把控，对发现的问题及时进行处理并记录。同时，项目指挥部中负责监督检查监理工作的人员应全面考核和评价监理工作，确保项目质量。</w:t>
      </w:r>
    </w:p>
    <w:p>
      <w:pPr>
        <w:pStyle w:val="5"/>
        <w:ind w:firstLine="643"/>
      </w:pPr>
      <w:bookmarkStart w:id="24" w:name="_Toc11910"/>
      <w:r>
        <w:rPr>
          <w:rFonts w:hint="eastAsia"/>
        </w:rPr>
        <w:t>七、存在的问题</w:t>
      </w:r>
      <w:bookmarkEnd w:id="24"/>
    </w:p>
    <w:p>
      <w:pPr>
        <w:ind w:firstLine="643"/>
        <w:rPr>
          <w:rFonts w:eastAsia="楷体"/>
        </w:rPr>
      </w:pPr>
      <w:r>
        <w:rPr>
          <w:rFonts w:hint="eastAsia" w:ascii="Arial" w:hAnsi="Arial" w:eastAsia="楷体" w:cstheme="minorBidi"/>
          <w:b/>
        </w:rPr>
        <w:t>（一）合同签订不规范</w:t>
      </w:r>
    </w:p>
    <w:p>
      <w:pPr>
        <w:ind w:firstLine="640"/>
        <w:jc w:val="both"/>
        <w:rPr>
          <w:rFonts w:ascii="仿宋_GB2312" w:hAnsi="仿宋_GB2312" w:eastAsia="仿宋_GB2312" w:cs="仿宋_GB2312"/>
          <w:color w:val="0000FF"/>
          <w:szCs w:val="32"/>
        </w:rPr>
      </w:pPr>
      <w:r>
        <w:rPr>
          <w:rFonts w:hint="eastAsia" w:ascii="仿宋_GB2312" w:hAnsi="仿宋_GB2312" w:eastAsia="仿宋_GB2312" w:cs="仿宋_GB2312"/>
          <w:szCs w:val="32"/>
        </w:rPr>
        <w:t>永济市交通运输局在与项目三期施工单位签订合同过程中，存在以下问题：①项目招标文件显示工期为365日历天，合同签订工期为270日历天/275日历天。②项目三期建设工程共分为4个标段，工期统一为2020年10月20日-2021年7月20日，但一二标段合同签订总工期为270日历天，三四标段合同签订总工期为275日历天。</w:t>
      </w:r>
    </w:p>
    <w:p>
      <w:pPr>
        <w:ind w:firstLine="643"/>
        <w:rPr>
          <w:rFonts w:eastAsia="楷体"/>
        </w:rPr>
      </w:pPr>
      <w:r>
        <w:rPr>
          <w:rFonts w:hint="eastAsia" w:ascii="Arial" w:hAnsi="Arial" w:eastAsia="楷体" w:cstheme="minorBidi"/>
          <w:b/>
        </w:rPr>
        <w:t>（二）管理制度不健全</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永济市交通运输局未制定项目后期维护管理制度。</w:t>
      </w:r>
    </w:p>
    <w:p>
      <w:pPr>
        <w:ind w:firstLine="643"/>
        <w:rPr>
          <w:rFonts w:eastAsia="楷体"/>
        </w:rPr>
      </w:pPr>
      <w:r>
        <w:rPr>
          <w:rFonts w:hint="eastAsia" w:ascii="Arial" w:hAnsi="Arial" w:eastAsia="楷体" w:cstheme="minorBidi"/>
          <w:b/>
        </w:rPr>
        <w:t>（三）制度执行不规范</w:t>
      </w:r>
    </w:p>
    <w:p>
      <w:pPr>
        <w:widowControl/>
        <w:ind w:firstLine="640"/>
        <w:rPr>
          <w:rFonts w:ascii="仿宋_GB2312" w:hAnsi="仿宋_GB2312" w:eastAsia="仿宋_GB2312" w:cs="仿宋_GB2312"/>
          <w:color w:val="0000FF"/>
          <w:szCs w:val="32"/>
        </w:rPr>
      </w:pPr>
      <w:r>
        <w:rPr>
          <w:rFonts w:hint="eastAsia" w:ascii="仿宋_GB2312" w:hAnsi="仿宋_GB2312" w:eastAsia="仿宋_GB2312" w:cs="仿宋_GB2312"/>
          <w:szCs w:val="32"/>
        </w:rPr>
        <w:t>永济市交通运输局实施项目过程中存在以下问题：一是项目资料不完整。①项目完成后，永济市交通运输局未及时将竣工验收报告等资料</w:t>
      </w:r>
      <w:r>
        <w:rPr>
          <w:rFonts w:hint="eastAsia" w:ascii="仿宋_GB2312" w:hAnsi="仿宋_GB2312" w:eastAsia="仿宋_GB2312" w:cs="仿宋_GB2312"/>
          <w:color w:val="000000" w:themeColor="text1"/>
          <w:szCs w:val="32"/>
        </w:rPr>
        <w:t>收集归档</w:t>
      </w:r>
      <w:r>
        <w:rPr>
          <w:rFonts w:hint="eastAsia" w:ascii="仿宋_GB2312" w:hAnsi="仿宋_GB2312" w:eastAsia="仿宋_GB2312" w:cs="仿宋_GB2312"/>
          <w:szCs w:val="32"/>
        </w:rPr>
        <w:t>。②项目交工验收报告上未标明项目开完工时间。二是竣工决算不及时。项目二期工程早于三期工程，三期工程已进行竣工结算审计。但截至报告日，二期工程仍未竣工结算审计。三是项目完成后，永济市交通运输局未编制自评报告。</w:t>
      </w:r>
    </w:p>
    <w:p>
      <w:pPr>
        <w:pStyle w:val="5"/>
        <w:ind w:firstLine="643"/>
      </w:pPr>
      <w:bookmarkStart w:id="25" w:name="_Toc13635"/>
      <w:r>
        <w:rPr>
          <w:rFonts w:hint="eastAsia"/>
        </w:rPr>
        <w:t>八、相关建议</w:t>
      </w:r>
      <w:bookmarkEnd w:id="25"/>
    </w:p>
    <w:p>
      <w:pPr>
        <w:ind w:firstLine="643"/>
        <w:rPr>
          <w:rFonts w:ascii="Arial" w:hAnsi="Arial" w:eastAsia="楷体" w:cstheme="minorBidi"/>
          <w:b/>
        </w:rPr>
      </w:pPr>
      <w:r>
        <w:rPr>
          <w:rFonts w:hint="eastAsia" w:ascii="Arial" w:hAnsi="Arial" w:eastAsia="楷体" w:cstheme="minorBidi"/>
          <w:b/>
        </w:rPr>
        <w:t>（一）加强合同管理</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项目实施单位应根据《中华人民共和国招</w:t>
      </w:r>
      <w:r>
        <w:rPr>
          <w:rFonts w:hint="eastAsia" w:ascii="仿宋_GB2312" w:hAnsi="仿宋_GB2312" w:eastAsia="仿宋_GB2312" w:cs="仿宋_GB2312"/>
          <w:szCs w:val="32"/>
          <w:lang w:val="en-US" w:eastAsia="zh-CN"/>
        </w:rPr>
        <w:t>标</w:t>
      </w:r>
      <w:r>
        <w:rPr>
          <w:rFonts w:hint="eastAsia" w:ascii="仿宋_GB2312" w:hAnsi="仿宋_GB2312" w:eastAsia="仿宋_GB2312" w:cs="仿宋_GB2312"/>
          <w:szCs w:val="32"/>
        </w:rPr>
        <w:t>投标法》第五十九条“ </w:t>
      </w:r>
      <w:r>
        <w:rPr>
          <w:rFonts w:ascii="仿宋_GB2312" w:hAnsi="仿宋_GB2312" w:eastAsia="仿宋_GB2312" w:cs="仿宋_GB2312"/>
          <w:szCs w:val="32"/>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仿宋_GB2312" w:hAnsi="仿宋_GB2312" w:eastAsia="仿宋_GB2312" w:cs="仿宋_GB2312"/>
          <w:szCs w:val="32"/>
        </w:rPr>
        <w:t>”的规定，对双方实际签订合同方不一致的事项进行处理。”</w:t>
      </w:r>
    </w:p>
    <w:p>
      <w:pPr>
        <w:pStyle w:val="2"/>
        <w:ind w:left="0" w:leftChars="0" w:firstLine="0" w:firstLineChars="0"/>
        <w:rPr>
          <w:rFonts w:eastAsia="仿宋_GB2312"/>
        </w:rPr>
      </w:pPr>
      <w:r>
        <w:rPr>
          <w:rFonts w:hint="eastAsia" w:ascii="仿宋_GB2312" w:hAnsi="仿宋_GB2312" w:eastAsia="仿宋_GB2312" w:cs="仿宋_GB2312"/>
          <w:szCs w:val="32"/>
        </w:rPr>
        <w:t xml:space="preserve">    项目实施单位应严格按照招标公告总工期，确定合同总工期，二者要保持一致。</w:t>
      </w:r>
    </w:p>
    <w:p>
      <w:pPr>
        <w:ind w:firstLine="643"/>
        <w:rPr>
          <w:b/>
          <w:bCs/>
        </w:rPr>
      </w:pPr>
      <w:r>
        <w:rPr>
          <w:rFonts w:hint="eastAsia" w:ascii="Arial" w:hAnsi="Arial" w:eastAsia="楷体" w:cstheme="minorBidi"/>
          <w:b/>
        </w:rPr>
        <w:t>（二）建立健全项目管理制度</w:t>
      </w:r>
    </w:p>
    <w:p>
      <w:pPr>
        <w:ind w:firstLine="640"/>
        <w:rPr>
          <w:rFonts w:ascii="Times New Roman" w:hAnsi="Times New Roman" w:eastAsia="仿宋_GB2312"/>
          <w:szCs w:val="32"/>
        </w:rPr>
      </w:pPr>
      <w:r>
        <w:rPr>
          <w:rFonts w:hint="eastAsia" w:ascii="Times New Roman" w:hAnsi="Times New Roman" w:eastAsia="仿宋_GB2312"/>
          <w:szCs w:val="32"/>
        </w:rPr>
        <w:t>项目实施单位应当制定项目后期管护制度，使投入使用的资产得到良好的管护。</w:t>
      </w:r>
    </w:p>
    <w:p>
      <w:pPr>
        <w:ind w:firstLine="643"/>
      </w:pPr>
      <w:r>
        <w:rPr>
          <w:rFonts w:hint="eastAsia" w:ascii="Arial" w:hAnsi="Arial" w:eastAsia="楷体" w:cstheme="minorBidi"/>
          <w:b/>
        </w:rPr>
        <w:t>（三）增强制度执行有效性</w:t>
      </w:r>
    </w:p>
    <w:p>
      <w:pPr>
        <w:ind w:firstLine="640"/>
        <w:rPr>
          <w:rFonts w:ascii="Times New Roman" w:hAnsi="Times New Roman" w:eastAsia="仿宋_GB2312"/>
          <w:szCs w:val="32"/>
        </w:rPr>
      </w:pPr>
      <w:r>
        <w:rPr>
          <w:rFonts w:hint="eastAsia" w:ascii="Times New Roman" w:hAnsi="Times New Roman" w:eastAsia="仿宋_GB2312"/>
          <w:szCs w:val="32"/>
        </w:rPr>
        <w:t>（</w:t>
      </w:r>
      <w:r>
        <w:rPr>
          <w:rFonts w:hint="eastAsia" w:ascii="仿宋_GB2312" w:hAnsi="仿宋_GB2312" w:eastAsia="仿宋_GB2312" w:cs="仿宋_GB2312"/>
          <w:szCs w:val="32"/>
        </w:rPr>
        <w:t>1</w:t>
      </w:r>
      <w:r>
        <w:rPr>
          <w:rFonts w:hint="eastAsia" w:ascii="Times New Roman" w:hAnsi="Times New Roman" w:eastAsia="仿宋_GB2312"/>
          <w:szCs w:val="32"/>
        </w:rPr>
        <w:t>）加强档案管理。项目完成后，项目实施单位应及时将项目相关资料进行收集整理，并归纳编号，放于档案室中，由专门人员进行管理，便于后期查看。</w:t>
      </w:r>
    </w:p>
    <w:p>
      <w:pPr>
        <w:widowControl/>
        <w:ind w:firstLine="640"/>
        <w:rPr>
          <w:rFonts w:ascii="仿宋_GB2312" w:hAnsi="仿宋_GB2312" w:eastAsia="仿宋_GB2312" w:cs="仿宋_GB2312"/>
          <w:szCs w:val="32"/>
        </w:rPr>
      </w:pPr>
      <w:r>
        <w:rPr>
          <w:rFonts w:hint="eastAsia" w:ascii="Times New Roman" w:hAnsi="Times New Roman" w:eastAsia="仿宋_GB2312"/>
          <w:szCs w:val="32"/>
        </w:rPr>
        <w:t>（</w:t>
      </w:r>
      <w:r>
        <w:rPr>
          <w:rFonts w:hint="eastAsia" w:ascii="仿宋_GB2312" w:hAnsi="仿宋_GB2312" w:eastAsia="仿宋_GB2312" w:cs="仿宋_GB2312"/>
          <w:szCs w:val="32"/>
          <w:lang w:val="en-US" w:eastAsia="zh-CN"/>
        </w:rPr>
        <w:t>2</w:t>
      </w:r>
      <w:r>
        <w:rPr>
          <w:rFonts w:hint="eastAsia" w:ascii="Times New Roman" w:hAnsi="Times New Roman" w:eastAsia="仿宋_GB2312"/>
          <w:szCs w:val="32"/>
        </w:rPr>
        <w:t>）根据</w:t>
      </w:r>
      <w:r>
        <w:rPr>
          <w:rFonts w:hint="eastAsia" w:ascii="仿宋_GB2312" w:hAnsi="仿宋_GB2312" w:eastAsia="仿宋_GB2312" w:cs="仿宋_GB2312"/>
          <w:szCs w:val="32"/>
        </w:rPr>
        <w:t>《关于印发基本建设项目竣工财务决算管理暂行办法的通知》（财建〔2016〕503号）文件要求，基本建设项目完工可投入使用或者试运行合格后，应当在3个月内编报竣工财务决算，特殊情况确需延长的，中小型项目不得超过2个月，大型项目不得超过6个月。</w:t>
      </w:r>
    </w:p>
    <w:p>
      <w:pPr>
        <w:widowControl/>
        <w:ind w:firstLine="640"/>
        <w:rPr>
          <w:rFonts w:ascii="仿宋_GB2312" w:hAnsi="仿宋_GB2312" w:eastAsia="仿宋_GB2312" w:cs="仿宋_GB2312"/>
          <w:szCs w:val="32"/>
        </w:rPr>
      </w:pPr>
      <w:r>
        <w:rPr>
          <w:rFonts w:hint="eastAsia" w:ascii="仿宋_GB2312" w:hAnsi="仿宋_GB2312" w:eastAsia="仿宋_GB2312" w:cs="仿宋_GB2312"/>
          <w:szCs w:val="32"/>
        </w:rPr>
        <w:t>该项目于2019年年底开工建设，2020年底建设完成，而截至2022年11月评价组实地调研期间，项目仍未开展竣工财务决算工作，与财建〔2016〕503号文件要求不符。竣工决算的延期，不利于投入使用后的资产得到良好的管理与有效的利用。</w:t>
      </w:r>
    </w:p>
    <w:p>
      <w:pPr>
        <w:widowControl/>
        <w:ind w:firstLine="640"/>
        <w:rPr>
          <w:rFonts w:ascii="仿宋_GB2312" w:hAnsi="仿宋_GB2312" w:eastAsia="仿宋_GB2312" w:cs="仿宋_GB2312"/>
          <w:color w:val="0000FF"/>
          <w:szCs w:val="32"/>
        </w:rPr>
      </w:pPr>
      <w:r>
        <w:rPr>
          <w:rFonts w:hint="eastAsia" w:ascii="Times New Roman" w:hAnsi="Times New Roman" w:eastAsia="仿宋_GB2312"/>
          <w:szCs w:val="32"/>
        </w:rPr>
        <w:t>（</w:t>
      </w:r>
      <w:r>
        <w:rPr>
          <w:rFonts w:hint="eastAsia" w:ascii="仿宋_GB2312" w:hAnsi="仿宋_GB2312" w:eastAsia="仿宋_GB2312" w:cs="仿宋_GB2312"/>
          <w:szCs w:val="32"/>
          <w:lang w:val="en-US" w:eastAsia="zh-CN"/>
        </w:rPr>
        <w:t>3</w:t>
      </w:r>
      <w:r>
        <w:rPr>
          <w:rFonts w:hint="eastAsia" w:ascii="Times New Roman" w:hAnsi="Times New Roman" w:eastAsia="仿宋_GB2312"/>
          <w:szCs w:val="32"/>
        </w:rPr>
        <w:t>）年度预算执行完毕，主管单位应按照相关规定和要求开展自评工作，项目分管部门根据批复的项目绩效目标，收集绩效目标完成情况、预算执行进度等数据资料，填写年度总体绩效目标、具体绩效指标完成情况和预算执行情况，对未完成绩效目标或偏离绩效目标较大的要分析并说明原因，做到自评报告内容完整、数据真实、结果客观。</w:t>
      </w:r>
    </w:p>
    <w:p>
      <w:pPr>
        <w:ind w:firstLine="640"/>
        <w:rPr>
          <w:rFonts w:ascii="方正小标宋简体" w:hAnsi="方正小标宋简体" w:eastAsia="方正小标宋简体" w:cs="方正小标宋简体"/>
          <w:sz w:val="36"/>
          <w:szCs w:val="36"/>
        </w:rPr>
      </w:pPr>
      <w:r>
        <w:rPr>
          <w:rFonts w:hint="eastAsia" w:ascii="仿宋_GB2312" w:hAnsi="仿宋_GB2312" w:eastAsia="仿宋_GB2312" w:cs="仿宋_GB2312"/>
          <w:szCs w:val="32"/>
        </w:rPr>
        <w:br w:type="page"/>
      </w:r>
    </w:p>
    <w:p>
      <w:pPr>
        <w:ind w:firstLine="0" w:firstLineChars="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永济沿黄旅游公路改建工程</w:t>
      </w:r>
    </w:p>
    <w:p>
      <w:pPr>
        <w:ind w:firstLine="0" w:firstLineChars="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项目</w:t>
      </w:r>
      <w:bookmarkStart w:id="26" w:name="_Toc27751"/>
      <w:r>
        <w:rPr>
          <w:rFonts w:hint="eastAsia" w:ascii="方正小标宋简体" w:hAnsi="方正小标宋简体" w:eastAsia="方正小标宋简体" w:cs="方正小标宋简体"/>
          <w:sz w:val="36"/>
          <w:szCs w:val="36"/>
        </w:rPr>
        <w:t>绩效评价报告正文</w:t>
      </w:r>
      <w:bookmarkEnd w:id="26"/>
    </w:p>
    <w:p>
      <w:pPr>
        <w:ind w:firstLine="640"/>
        <w:jc w:val="both"/>
        <w:rPr>
          <w:rFonts w:ascii="仿宋_GB2312" w:hAnsi="仿宋_GB2312" w:eastAsia="仿宋_GB2312" w:cs="仿宋_GB2312"/>
          <w:szCs w:val="32"/>
        </w:rPr>
      </w:pPr>
      <w:bookmarkStart w:id="27" w:name="_Toc18840"/>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为全面了解</w:t>
      </w:r>
      <w:r>
        <w:rPr>
          <w:rFonts w:hint="eastAsia" w:ascii="Times New Roman" w:hAnsi="Times New Roman" w:eastAsia="仿宋_GB2312"/>
          <w:szCs w:val="32"/>
        </w:rPr>
        <w:t>永济沿黄旅游公路改建工程</w:t>
      </w:r>
      <w:r>
        <w:rPr>
          <w:rFonts w:hint="eastAsia" w:ascii="仿宋_GB2312" w:hAnsi="仿宋_GB2312" w:eastAsia="仿宋_GB2312" w:cs="仿宋_GB2312"/>
          <w:szCs w:val="32"/>
        </w:rPr>
        <w:t>项目的实施效果和资金使用情况，保障财政资金管理使用的安全性、有效性，进一步提升财政资金管理的精细化水平，山西同仁会计师事务所(有限公司)</w:t>
      </w:r>
      <w:r>
        <w:rPr>
          <w:rFonts w:hint="eastAsia" w:ascii="仿宋_GB2312" w:hAnsi="仿宋_GB2312" w:eastAsia="仿宋_GB2312" w:cs="仿宋_GB2312"/>
          <w:szCs w:val="32"/>
          <w:lang w:val="zh-CN"/>
        </w:rPr>
        <w:t>受</w:t>
      </w:r>
      <w:r>
        <w:rPr>
          <w:rFonts w:hint="eastAsia" w:ascii="仿宋_GB2312" w:hAnsi="仿宋_GB2312" w:eastAsia="仿宋_GB2312" w:cs="仿宋_GB2312"/>
          <w:szCs w:val="32"/>
        </w:rPr>
        <w:t>永济市财政局的</w:t>
      </w:r>
      <w:r>
        <w:rPr>
          <w:rFonts w:hint="eastAsia" w:ascii="仿宋_GB2312" w:hAnsi="仿宋_GB2312" w:eastAsia="仿宋_GB2312" w:cs="仿宋_GB2312"/>
          <w:szCs w:val="32"/>
          <w:lang w:val="zh-CN"/>
        </w:rPr>
        <w:t>委托，</w:t>
      </w:r>
      <w:r>
        <w:rPr>
          <w:rFonts w:hint="eastAsia" w:ascii="仿宋_GB2312" w:hAnsi="仿宋_GB2312" w:eastAsia="仿宋_GB2312" w:cs="仿宋_GB2312"/>
          <w:szCs w:val="32"/>
        </w:rPr>
        <w:t>以2021年12月31日为评价基准日，通过实地走访，现场查验与</w:t>
      </w:r>
      <w:r>
        <w:rPr>
          <w:rFonts w:hint="eastAsia" w:ascii="Times New Roman" w:hAnsi="Times New Roman" w:eastAsia="仿宋_GB2312"/>
          <w:szCs w:val="32"/>
        </w:rPr>
        <w:t>永济沿黄旅游公路改建工程</w:t>
      </w:r>
      <w:r>
        <w:rPr>
          <w:rFonts w:hint="eastAsia" w:ascii="仿宋_GB2312" w:hAnsi="仿宋_GB2312" w:eastAsia="仿宋_GB2312" w:cs="仿宋_GB2312"/>
          <w:szCs w:val="32"/>
        </w:rPr>
        <w:t>项目有关的内部管理、业务管理、财务管理等相关资料，对有关人员进行访谈，发放调查问卷，对收集到的有关数据、文件进行认真整理、分析和研判，完成了本次绩效评价工作。现报告如下：</w:t>
      </w:r>
    </w:p>
    <w:bookmarkEnd w:id="27"/>
    <w:p>
      <w:pPr>
        <w:pStyle w:val="5"/>
        <w:ind w:firstLine="640"/>
        <w:rPr>
          <w:b w:val="0"/>
          <w:bCs/>
        </w:rPr>
      </w:pPr>
      <w:bookmarkStart w:id="28" w:name="_Toc31199"/>
      <w:bookmarkStart w:id="29" w:name="_Toc13008"/>
      <w:r>
        <w:rPr>
          <w:rFonts w:hint="eastAsia"/>
          <w:b w:val="0"/>
          <w:bCs/>
        </w:rPr>
        <w:t>一、项目概况</w:t>
      </w:r>
      <w:bookmarkEnd w:id="28"/>
      <w:bookmarkEnd w:id="29"/>
    </w:p>
    <w:p>
      <w:pPr>
        <w:pStyle w:val="6"/>
        <w:adjustRightInd w:val="0"/>
        <w:snapToGrid w:val="0"/>
        <w:spacing w:before="156" w:beforeLines="50"/>
        <w:ind w:firstLine="643"/>
      </w:pPr>
      <w:bookmarkStart w:id="30" w:name="_Toc14309"/>
      <w:bookmarkStart w:id="31" w:name="_Toc31718"/>
      <w:bookmarkStart w:id="32" w:name="_Toc8474"/>
      <w:r>
        <w:rPr>
          <w:rFonts w:hint="eastAsia"/>
        </w:rPr>
        <w:t>（一）</w:t>
      </w:r>
      <w:bookmarkEnd w:id="30"/>
      <w:r>
        <w:rPr>
          <w:rFonts w:hint="eastAsia"/>
        </w:rPr>
        <w:t>项目立项背景及依据</w:t>
      </w:r>
      <w:bookmarkEnd w:id="31"/>
      <w:bookmarkEnd w:id="32"/>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1.项目背景</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旅游公路是兼具交通与旅游双重功能的公路，是绿色公路建设的重要内容，是促进交通与旅游融合发展的重要载体。</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2015年8月4日，国务院办公厅关于进一步促进旅游投资和消费的若干意见（国办发〔2015〕62号）指出：旅游业是我国经济社会发展的综合性产业，是国民经济和现代服务业的重要组成部分。2016年12月7日，国务院关于印发“十三五”旅游业发展规划的通知（国发〔2016〕70号），提出要打造国家精品旅游带，重点打造丝绸之路旅游带、黄河华夏文明旅游带等10条国家精品旅游带。</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山西省提出发展黄河、长城、太行三大旅游板块，利用山西旅游资源优势，推动文化旅游融合发展，打造“夏养山西”康养产业集群，打造文化旅游村镇。黄河、长城、太行扶贫旅游公路（一号公路）是山西省省委、省政府开发三大旅游板块、打造国家全域旅游示范区的重要组成部分。</w:t>
      </w:r>
    </w:p>
    <w:p>
      <w:pPr>
        <w:ind w:firstLine="640"/>
        <w:rPr>
          <w:rFonts w:ascii="仿宋_GB2312" w:hAnsi="仿宋_GB2312" w:eastAsia="仿宋_GB2312" w:cs="仿宋_GB2312"/>
          <w:kern w:val="28"/>
          <w:szCs w:val="32"/>
        </w:rPr>
      </w:pPr>
      <w:r>
        <w:rPr>
          <w:rFonts w:ascii="仿宋_GB2312" w:hAnsi="仿宋_GB2312" w:eastAsia="仿宋_GB2312" w:cs="仿宋_GB2312"/>
          <w:kern w:val="28"/>
          <w:szCs w:val="32"/>
        </w:rPr>
        <w:t>永济市地处晋、陕、豫“黄河金三角”的核心地带，是山西的“南大门”，西临“母亲河”、南屏中条山、北望峨眉岭、腹有伍姓湖、横贯涑水河</w:t>
      </w:r>
      <w:r>
        <w:rPr>
          <w:rFonts w:hint="eastAsia" w:ascii="仿宋_GB2312" w:hAnsi="仿宋_GB2312" w:eastAsia="仿宋_GB2312" w:cs="仿宋_GB2312"/>
          <w:kern w:val="28"/>
          <w:szCs w:val="32"/>
        </w:rPr>
        <w:t>，区位优势明显，交通条件便利，被授予“中国优秀旅游城市”</w:t>
      </w:r>
      <w:r>
        <w:rPr>
          <w:rFonts w:ascii="仿宋_GB2312" w:hAnsi="仿宋_GB2312" w:eastAsia="仿宋_GB2312" w:cs="仿宋_GB2312"/>
          <w:kern w:val="28"/>
          <w:szCs w:val="32"/>
        </w:rPr>
        <w:t>。</w:t>
      </w:r>
    </w:p>
    <w:p>
      <w:pPr>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rPr>
        <w:t>为积极响应国家和山西号召，充分发挥山西旅游业优势，适应山西经济转型升级和国家全域旅游示范区创建需要，进一步推进永济市旅游产业发展进程，提升永济市旅游文化品位，结合沿黄旅游公路现状，制定了《永济市全域旅游总体规划及三年行动计划（2017-2021）》，开展永济沿黄旅游公路改建工程</w:t>
      </w:r>
      <w:r>
        <w:rPr>
          <w:rFonts w:hint="eastAsia" w:ascii="仿宋_GB2312" w:hAnsi="仿宋_GB2312" w:eastAsia="仿宋_GB2312" w:cs="仿宋_GB2312"/>
          <w:szCs w:val="32"/>
        </w:rPr>
        <w:t>。项目分期开展，本次评价</w:t>
      </w:r>
      <w:r>
        <w:rPr>
          <w:rFonts w:hint="eastAsia" w:ascii="仿宋_GB2312" w:hAnsi="仿宋_GB2312" w:eastAsia="仿宋_GB2312" w:cs="仿宋_GB2312"/>
          <w:kern w:val="28"/>
          <w:szCs w:val="32"/>
        </w:rPr>
        <w:t>永济沿黄旅游公路改建工程二三期。</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2.立项依据</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（1）山西省人民政府办公厅《关于深入推进“四好农村路”建设的实施意见》（晋政办发〔2018〕54号）；</w:t>
      </w:r>
    </w:p>
    <w:p>
      <w:pPr>
        <w:pStyle w:val="8"/>
        <w:ind w:firstLine="640"/>
        <w:rPr>
          <w:rFonts w:hAnsi="仿宋_GB2312" w:cs="仿宋_GB2312"/>
          <w:kern w:val="28"/>
          <w:szCs w:val="32"/>
        </w:rPr>
      </w:pPr>
      <w:r>
        <w:rPr>
          <w:rFonts w:hint="eastAsia" w:hAnsi="仿宋_GB2312" w:cs="仿宋_GB2312"/>
          <w:kern w:val="28"/>
          <w:szCs w:val="32"/>
        </w:rPr>
        <w:t>（</w:t>
      </w:r>
      <w:r>
        <w:rPr>
          <w:rFonts w:hint="eastAsia" w:ascii="仿宋_GB2312" w:hAnsi="仿宋_GB2312" w:eastAsia="仿宋_GB2312" w:cs="仿宋_GB2312"/>
          <w:kern w:val="28"/>
          <w:szCs w:val="32"/>
        </w:rPr>
        <w:t>2）</w:t>
      </w:r>
      <w:r>
        <w:rPr>
          <w:rFonts w:hint="eastAsia" w:hAnsi="仿宋_GB2312" w:cs="仿宋_GB2312"/>
          <w:kern w:val="28"/>
          <w:szCs w:val="32"/>
        </w:rPr>
        <w:t>山西省交通运输厅《关于三大模块旅游公路和“四好农村路”建设目标任务及融资方式的说明》；</w:t>
      </w:r>
    </w:p>
    <w:p>
      <w:pPr>
        <w:pStyle w:val="8"/>
        <w:ind w:firstLine="640"/>
        <w:rPr>
          <w:rFonts w:hAnsi="仿宋_GB2312" w:cs="仿宋_GB2312"/>
          <w:kern w:val="28"/>
          <w:szCs w:val="32"/>
        </w:rPr>
      </w:pPr>
      <w:r>
        <w:rPr>
          <w:rFonts w:hint="eastAsia" w:hAnsi="仿宋_GB2312" w:cs="仿宋_GB2312"/>
          <w:kern w:val="28"/>
          <w:szCs w:val="32"/>
        </w:rPr>
        <w:t>（</w:t>
      </w:r>
      <w:r>
        <w:rPr>
          <w:rFonts w:hint="eastAsia" w:ascii="仿宋_GB2312" w:hAnsi="仿宋_GB2312" w:eastAsia="仿宋_GB2312" w:cs="仿宋_GB2312"/>
          <w:kern w:val="28"/>
          <w:szCs w:val="32"/>
        </w:rPr>
        <w:t>3）</w:t>
      </w:r>
      <w:r>
        <w:rPr>
          <w:rFonts w:hint="eastAsia" w:hAnsi="仿宋_GB2312" w:cs="仿宋_GB2312"/>
          <w:kern w:val="28"/>
          <w:szCs w:val="32"/>
        </w:rPr>
        <w:t>山西省交通运输厅《关于推进黄河，长城、太行三大板块旅游公路建设的实施意见</w:t>
      </w:r>
      <w:r>
        <w:rPr>
          <w:rFonts w:hint="eastAsia" w:ascii="仿宋_GB2312" w:hAnsi="仿宋_GB2312" w:eastAsia="仿宋_GB2312" w:cs="仿宋_GB2312"/>
          <w:kern w:val="28"/>
          <w:szCs w:val="32"/>
        </w:rPr>
        <w:t>（2018-2020年</w:t>
      </w:r>
      <w:r>
        <w:rPr>
          <w:rFonts w:hint="eastAsia" w:hAnsi="仿宋_GB2312" w:cs="仿宋_GB2312"/>
          <w:kern w:val="28"/>
          <w:szCs w:val="32"/>
        </w:rPr>
        <w:t>）》；</w:t>
      </w:r>
    </w:p>
    <w:p>
      <w:pPr>
        <w:ind w:firstLine="640"/>
        <w:jc w:val="both"/>
        <w:rPr>
          <w:rFonts w:eastAsia="仿宋_GB2312"/>
        </w:rPr>
      </w:pPr>
      <w:r>
        <w:rPr>
          <w:rFonts w:hint="eastAsia" w:hAnsi="仿宋_GB2312" w:cs="仿宋_GB2312"/>
          <w:kern w:val="28"/>
          <w:szCs w:val="32"/>
        </w:rPr>
        <w:t>（</w:t>
      </w:r>
      <w:r>
        <w:rPr>
          <w:rFonts w:hint="eastAsia" w:ascii="仿宋_GB2312" w:hAnsi="仿宋_GB2312" w:eastAsia="仿宋_GB2312" w:cs="仿宋_GB2312"/>
          <w:kern w:val="28"/>
          <w:szCs w:val="32"/>
        </w:rPr>
        <w:t>4</w:t>
      </w:r>
      <w:r>
        <w:rPr>
          <w:rFonts w:hint="eastAsia" w:hAnsi="仿宋_GB2312" w:cs="仿宋_GB2312"/>
          <w:kern w:val="28"/>
          <w:szCs w:val="32"/>
        </w:rPr>
        <w:t>）《永济市全域旅游总体规划及三年行动计划</w:t>
      </w:r>
      <w:r>
        <w:rPr>
          <w:rFonts w:hint="eastAsia" w:ascii="仿宋_GB2312" w:hAnsi="仿宋_GB2312" w:eastAsia="仿宋_GB2312" w:cs="仿宋_GB2312"/>
          <w:kern w:val="28"/>
          <w:szCs w:val="32"/>
        </w:rPr>
        <w:t>（2017-2021）</w:t>
      </w:r>
      <w:r>
        <w:rPr>
          <w:rFonts w:hint="eastAsia" w:hAnsi="仿宋_GB2312" w:cs="仿宋_GB2312"/>
          <w:kern w:val="28"/>
          <w:szCs w:val="32"/>
        </w:rPr>
        <w:t>》</w:t>
      </w:r>
      <w:r>
        <w:rPr>
          <w:rFonts w:hint="eastAsia" w:ascii="仿宋_GB2312" w:hAnsi="仿宋_GB2312" w:eastAsia="仿宋_GB2312" w:cs="仿宋_GB2312"/>
          <w:szCs w:val="32"/>
        </w:rPr>
        <w:t>。</w:t>
      </w:r>
    </w:p>
    <w:p>
      <w:pPr>
        <w:ind w:firstLine="643"/>
        <w:jc w:val="both"/>
        <w:rPr>
          <w:rFonts w:ascii="仿宋_GB2312" w:hAnsi="仿宋_GB2312" w:eastAsia="仿宋_GB2312" w:cs="仿宋_GB2312"/>
          <w:szCs w:val="32"/>
        </w:rPr>
      </w:pPr>
      <w:r>
        <w:rPr>
          <w:rFonts w:hint="eastAsia" w:ascii="仿宋_GB2312" w:hAnsi="仿宋_GB2312" w:eastAsia="仿宋_GB2312" w:cs="仿宋_GB2312"/>
          <w:b/>
          <w:bCs/>
          <w:szCs w:val="32"/>
        </w:rPr>
        <w:t>3.项目内容</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（1）永济市发展和改革局《关于永济沿黄旅游公路改建工程初步设计报告的批复》（永政发改〔2019〕18号）文件内容如下：</w:t>
      </w:r>
    </w:p>
    <w:p>
      <w:pPr>
        <w:pStyle w:val="8"/>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项目编码：2018-140881-48-01-028145</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建设地址：路线起点位于永济市与临猗县县界处，沿引黄渠东侧途经舜帝村、永宁村等，终点位于与芮城县交界处</w:t>
      </w:r>
      <w:r>
        <w:rPr>
          <w:rFonts w:ascii="仿宋_GB2312" w:hAnsi="仿宋_GB2312" w:eastAsia="仿宋_GB2312" w:cs="仿宋_GB2312"/>
          <w:kern w:val="28"/>
          <w:szCs w:val="32"/>
        </w:rPr>
        <w:t>。</w:t>
      </w:r>
      <w:r>
        <w:rPr>
          <w:rFonts w:hint="eastAsia" w:ascii="仿宋_GB2312" w:hAnsi="仿宋_GB2312" w:eastAsia="仿宋_GB2312" w:cs="仿宋_GB2312"/>
          <w:kern w:val="28"/>
          <w:szCs w:val="32"/>
        </w:rPr>
        <w:t>支线起点位于永济市雪花山风景区，途径赵坊村、舜帝山森林公园，止于神潭大峡谷，接中条山旅游绿道经万固寺、唐开元铁牛馆，终点位于鹤雀楼景区。</w:t>
      </w:r>
    </w:p>
    <w:p>
      <w:pPr>
        <w:pStyle w:val="8"/>
        <w:ind w:firstLine="640"/>
        <w:rPr>
          <w:rFonts w:hAnsi="仿宋_GB2312" w:cs="仿宋_GB2312"/>
          <w:kern w:val="28"/>
          <w:szCs w:val="32"/>
        </w:rPr>
      </w:pPr>
      <w:r>
        <w:rPr>
          <w:rFonts w:hint="eastAsia" w:hAnsi="仿宋_GB2312" w:cs="仿宋_GB2312"/>
          <w:kern w:val="28"/>
          <w:szCs w:val="32"/>
        </w:rPr>
        <w:t>项目建设内容及规模：</w:t>
      </w:r>
      <w:r>
        <w:rPr>
          <w:rFonts w:hint="eastAsia" w:ascii="仿宋_GB2312" w:hAnsi="仿宋_GB2312" w:eastAsia="仿宋_GB2312" w:cs="仿宋_GB2312"/>
          <w:kern w:val="28"/>
          <w:szCs w:val="32"/>
        </w:rPr>
        <w:t>项目采用三级公路标准，路线全长75.349千米。其中A1K0+000～A1K6+248.523段，路面宽度7.5米，路基宽度8.5米，剩余路段路面宽度6.5米，路基宽度7.5米。其中改建路线37.886千米，绿化75.349千米，景观及配套设施建设等绿化面积379088平方米。路面采用改性沥青混凝土路面。不需征用土地。</w:t>
      </w:r>
    </w:p>
    <w:p>
      <w:pPr>
        <w:pStyle w:val="8"/>
        <w:ind w:firstLine="640"/>
        <w:rPr>
          <w:rFonts w:hAnsi="仿宋_GB2312" w:cs="仿宋_GB2312"/>
          <w:kern w:val="28"/>
          <w:szCs w:val="32"/>
        </w:rPr>
      </w:pPr>
      <w:r>
        <w:rPr>
          <w:rFonts w:hint="eastAsia" w:hAnsi="仿宋_GB2312" w:cs="仿宋_GB2312"/>
          <w:kern w:val="28"/>
          <w:szCs w:val="32"/>
        </w:rPr>
        <w:t>（</w:t>
      </w:r>
      <w:r>
        <w:rPr>
          <w:rFonts w:hint="eastAsia" w:ascii="仿宋_GB2312" w:hAnsi="仿宋_GB2312" w:eastAsia="仿宋_GB2312" w:cs="仿宋_GB2312"/>
          <w:kern w:val="28"/>
          <w:szCs w:val="32"/>
        </w:rPr>
        <w:t>2）</w:t>
      </w:r>
      <w:r>
        <w:rPr>
          <w:rFonts w:hint="eastAsia" w:hAnsi="仿宋_GB2312" w:cs="仿宋_GB2312"/>
          <w:kern w:val="28"/>
          <w:szCs w:val="32"/>
        </w:rPr>
        <w:t>本次评价对象</w:t>
      </w:r>
      <w:r>
        <w:rPr>
          <w:rFonts w:hint="eastAsia" w:ascii="仿宋_GB2312" w:hAnsi="仿宋_GB2312" w:eastAsia="仿宋_GB2312" w:cs="仿宋_GB2312"/>
          <w:kern w:val="28"/>
          <w:szCs w:val="32"/>
        </w:rPr>
        <w:t>永济沿黄旅游公路改建工程</w:t>
      </w:r>
      <w:r>
        <w:rPr>
          <w:rFonts w:hint="eastAsia" w:hAnsi="仿宋_GB2312" w:cs="仿宋_GB2312"/>
          <w:kern w:val="28"/>
          <w:szCs w:val="32"/>
        </w:rPr>
        <w:t>二三期情况如下：</w:t>
      </w:r>
    </w:p>
    <w:p>
      <w:pPr>
        <w:pStyle w:val="8"/>
        <w:ind w:firstLine="640"/>
        <w:rPr>
          <w:rFonts w:hAnsi="仿宋_GB2312" w:cs="仿宋_GB2312"/>
          <w:kern w:val="28"/>
          <w:szCs w:val="32"/>
        </w:rPr>
      </w:pPr>
      <w:r>
        <w:rPr>
          <w:rFonts w:hint="eastAsia" w:ascii="仿宋_GB2312" w:hAnsi="仿宋_GB2312" w:eastAsia="仿宋_GB2312" w:cs="仿宋_GB2312"/>
          <w:kern w:val="28"/>
          <w:szCs w:val="32"/>
        </w:rPr>
        <w:t>根据2019年9月20日永济市财政投资评审中心（永财预评报〔2019〕第87号）、2020年5月22日永济市财政投资评审中心（永财预评报〔2020〕第39号）、2020年8月21日永济市财政投资评审中心（永财预评报〔2020〕第109、110、111号）文件，项目主要包括杨马-万固寺西段和张营-文学段、西敬庄-张营段、雪花山-万固寺东段以及道路安全设施。路线全长36.139千米，其中：二期为杨马-万固寺西段和张营-文学两段，全长20.448千米（其中：杨马-万固寺西段长3.27千米、张营-文学段长17.178千米）；三期的西敬庄-张营段（K0+000-K6+248.522）长6.227千米、雪花山-万固寺东段长9.464千米。</w:t>
      </w:r>
      <w:r>
        <w:rPr>
          <w:rFonts w:hint="eastAsia" w:hAnsi="仿宋_GB2312" w:cs="仿宋_GB2312"/>
          <w:kern w:val="28"/>
          <w:szCs w:val="32"/>
        </w:rPr>
        <w:t>项目招投标情况如下：</w:t>
      </w:r>
    </w:p>
    <w:tbl>
      <w:tblPr>
        <w:tblStyle w:val="15"/>
        <w:tblW w:w="49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6"/>
        <w:gridCol w:w="1259"/>
        <w:gridCol w:w="3576"/>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项目标段</w:t>
            </w:r>
          </w:p>
        </w:tc>
        <w:tc>
          <w:tcPr>
            <w:tcW w:w="811" w:type="pc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招标时间</w:t>
            </w:r>
          </w:p>
        </w:tc>
        <w:tc>
          <w:tcPr>
            <w:tcW w:w="2013" w:type="pc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中标单位</w:t>
            </w:r>
          </w:p>
        </w:tc>
        <w:tc>
          <w:tcPr>
            <w:tcW w:w="836" w:type="pc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中标价（万元）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张营-黄龙</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山西鹏翼路桥有限公司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886.6235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黄龙-大鸳鸯</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山西宝路通路桥工程有限公司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1085.2383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大鸳鸯-南苏</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南阳泓宇路桥工程有限公司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1008.3951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南苏-太吕</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山西四建集团有限公司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903.8668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太吕-韩家庄</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山西杰兴源建设工程有限公司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871.2698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杨马-万固寺西段</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山西玉达路桥工程有限公司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613.0105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监理</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山西正大通畅建设工程监理有限公司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西敬庄-张营</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2020.9.22</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山西宝路通路桥工程有限公司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2165.0058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雪花山-万固寺东段（1）</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2020.9.22</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山西玉达路桥工程有限公司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1416.4819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雪花山-万固寺东段（2）</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2020.9.22</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陕西大道建筑工程有限公司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659.1927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安保</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2020.9.22</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山西鹏翼路桥有限公司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459.9006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监理</w:t>
            </w:r>
          </w:p>
        </w:tc>
        <w:tc>
          <w:tcPr>
            <w:tcW w:w="81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2020.9.22</w:t>
            </w:r>
          </w:p>
        </w:tc>
        <w:tc>
          <w:tcPr>
            <w:tcW w:w="2013"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山西正大通畅建设工程监理有限公司</w:t>
            </w:r>
          </w:p>
        </w:tc>
        <w:tc>
          <w:tcPr>
            <w:tcW w:w="836"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8" w:type="pct"/>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c>
          <w:tcPr>
            <w:tcW w:w="811" w:type="pct"/>
            <w:noWrap/>
            <w:vAlign w:val="center"/>
          </w:tcPr>
          <w:p>
            <w:pPr>
              <w:pStyle w:val="10"/>
              <w:widowControl w:val="0"/>
              <w:spacing w:before="100" w:after="100" w:line="240" w:lineRule="auto"/>
              <w:ind w:firstLine="0" w:firstLineChars="0"/>
              <w:jc w:val="center"/>
              <w:rPr>
                <w:rFonts w:cs="宋体"/>
                <w:b/>
                <w:bCs/>
                <w:sz w:val="21"/>
                <w:szCs w:val="21"/>
              </w:rPr>
            </w:pPr>
          </w:p>
        </w:tc>
        <w:tc>
          <w:tcPr>
            <w:tcW w:w="2013" w:type="pct"/>
            <w:noWrap/>
            <w:vAlign w:val="center"/>
          </w:tcPr>
          <w:p>
            <w:pPr>
              <w:pStyle w:val="10"/>
              <w:widowControl w:val="0"/>
              <w:spacing w:before="100" w:after="100" w:line="240" w:lineRule="auto"/>
              <w:ind w:firstLine="0" w:firstLineChars="0"/>
              <w:jc w:val="center"/>
              <w:rPr>
                <w:rFonts w:cs="宋体"/>
                <w:b/>
                <w:bCs/>
                <w:sz w:val="21"/>
                <w:szCs w:val="21"/>
              </w:rPr>
            </w:pPr>
          </w:p>
        </w:tc>
        <w:tc>
          <w:tcPr>
            <w:tcW w:w="836" w:type="pct"/>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10200.145</w:t>
            </w:r>
          </w:p>
        </w:tc>
      </w:tr>
    </w:tbl>
    <w:p>
      <w:pPr>
        <w:ind w:firstLine="643"/>
        <w:jc w:val="both"/>
        <w:rPr>
          <w:rFonts w:ascii="仿宋_GB2312" w:hAnsi="仿宋_GB2312" w:eastAsia="仿宋_GB2312" w:cs="仿宋_GB2312"/>
          <w:szCs w:val="32"/>
        </w:rPr>
      </w:pPr>
      <w:r>
        <w:rPr>
          <w:rFonts w:hint="eastAsia" w:ascii="仿宋_GB2312" w:hAnsi="仿宋_GB2312" w:eastAsia="仿宋_GB2312" w:cs="仿宋_GB2312"/>
          <w:b/>
          <w:bCs/>
          <w:szCs w:val="32"/>
        </w:rPr>
        <w:t>4.项目实施情况</w:t>
      </w:r>
    </w:p>
    <w:p>
      <w:pPr>
        <w:ind w:firstLine="640"/>
        <w:jc w:val="both"/>
        <w:rPr>
          <w:rFonts w:ascii="仿宋_GB2312" w:hAnsi="仿宋_GB2312" w:eastAsia="仿宋_GB2312" w:cs="仿宋_GB2312"/>
          <w:color w:val="0000FF"/>
          <w:szCs w:val="32"/>
        </w:rPr>
      </w:pPr>
      <w:r>
        <w:rPr>
          <w:rFonts w:hint="eastAsia" w:ascii="仿宋_GB2312" w:hAnsi="仿宋_GB2312" w:eastAsia="仿宋_GB2312" w:cs="仿宋_GB2312"/>
          <w:kern w:val="28"/>
          <w:szCs w:val="32"/>
        </w:rPr>
        <w:t>永济沿黄旅游公路改建工程</w:t>
      </w:r>
      <w:r>
        <w:rPr>
          <w:rFonts w:hint="eastAsia" w:hAnsi="仿宋_GB2312" w:cs="仿宋_GB2312"/>
          <w:kern w:val="28"/>
          <w:szCs w:val="32"/>
        </w:rPr>
        <w:t>二三期项目共分</w:t>
      </w:r>
      <w:r>
        <w:rPr>
          <w:rFonts w:hint="eastAsia" w:ascii="仿宋_GB2312" w:hAnsi="仿宋_GB2312" w:eastAsia="仿宋_GB2312" w:cs="仿宋_GB2312"/>
          <w:kern w:val="28"/>
          <w:szCs w:val="32"/>
        </w:rPr>
        <w:t>为12个标段</w:t>
      </w:r>
      <w:r>
        <w:rPr>
          <w:rFonts w:hint="eastAsia" w:hAnsi="仿宋_GB2312" w:cs="仿宋_GB2312"/>
          <w:kern w:val="28"/>
          <w:szCs w:val="32"/>
        </w:rPr>
        <w:t>，项目分别委托山西景屹招标代理有限公司、天马盛鼎项目管理有限公司进行公开招标，共确</w:t>
      </w:r>
      <w:r>
        <w:rPr>
          <w:rFonts w:hint="eastAsia" w:ascii="仿宋_GB2312" w:hAnsi="仿宋_GB2312" w:eastAsia="仿宋_GB2312" w:cs="仿宋_GB2312"/>
          <w:kern w:val="28"/>
          <w:szCs w:val="32"/>
        </w:rPr>
        <w:t>定8家中标单</w:t>
      </w:r>
      <w:r>
        <w:rPr>
          <w:rFonts w:hint="eastAsia" w:hAnsi="仿宋_GB2312" w:cs="仿宋_GB2312"/>
          <w:kern w:val="28"/>
          <w:szCs w:val="32"/>
        </w:rPr>
        <w:t>位</w:t>
      </w:r>
      <w:r>
        <w:rPr>
          <w:rFonts w:hint="eastAsia" w:ascii="仿宋_GB2312" w:hAnsi="仿宋_GB2312" w:eastAsia="仿宋_GB2312" w:cs="仿宋_GB2312"/>
          <w:szCs w:val="32"/>
        </w:rPr>
        <w:t>。项目二期工程于2019年12月开始建设，项目三期工程于2020年10月开始建设，截至2022年6月，项目均已建设完成。</w:t>
      </w:r>
    </w:p>
    <w:p>
      <w:pPr>
        <w:pStyle w:val="6"/>
        <w:ind w:firstLine="321" w:firstLineChars="100"/>
      </w:pPr>
      <w:bookmarkStart w:id="33" w:name="_Toc19656"/>
      <w:bookmarkStart w:id="34" w:name="_Toc2671"/>
      <w:bookmarkStart w:id="35" w:name="_Toc18914"/>
      <w:bookmarkStart w:id="36" w:name="_Toc22098"/>
      <w:bookmarkStart w:id="37" w:name="_Toc26322"/>
      <w:bookmarkStart w:id="38" w:name="_Toc29098"/>
      <w:bookmarkStart w:id="39" w:name="_Toc7278"/>
      <w:bookmarkStart w:id="40" w:name="_Toc12696"/>
      <w:r>
        <w:rPr>
          <w:rFonts w:hint="eastAsia"/>
        </w:rPr>
        <w:t>（二）项目资金到位及使用情况</w:t>
      </w:r>
      <w:bookmarkEnd w:id="33"/>
      <w:bookmarkEnd w:id="34"/>
      <w:bookmarkEnd w:id="35"/>
      <w:bookmarkEnd w:id="36"/>
      <w:bookmarkEnd w:id="37"/>
      <w:bookmarkEnd w:id="38"/>
      <w:bookmarkEnd w:id="39"/>
      <w:bookmarkEnd w:id="40"/>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1.资金预算情况</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（1）永济沿黄旅游公路改建工程项目总体预算情况</w:t>
      </w:r>
    </w:p>
    <w:p>
      <w:pPr>
        <w:ind w:firstLine="640"/>
        <w:rPr>
          <w:rFonts w:ascii="仿宋_GB2312" w:hAnsi="仿宋_GB2312" w:eastAsia="仿宋_GB2312" w:cs="仿宋_GB2312"/>
          <w:kern w:val="28"/>
          <w:szCs w:val="32"/>
        </w:rPr>
      </w:pPr>
      <w:r>
        <w:rPr>
          <w:rFonts w:hint="eastAsia" w:ascii="仿宋" w:hAnsi="仿宋" w:cs="仿宋_GB2312"/>
          <w:kern w:val="28"/>
          <w:szCs w:val="32"/>
        </w:rPr>
        <w:t>①</w:t>
      </w:r>
      <w:r>
        <w:rPr>
          <w:rFonts w:hint="eastAsia" w:ascii="仿宋_GB2312" w:hAnsi="仿宋_GB2312" w:eastAsia="仿宋_GB2312" w:cs="仿宋_GB2312"/>
          <w:kern w:val="28"/>
          <w:szCs w:val="32"/>
        </w:rPr>
        <w:t>根据2018年12月14日永济市发展和改革局《关于永济沿黄旅游公路改建工程可行性研究报告的批复》，项目估算总投资为32211.0623万元，其中：勘察、设计676.9616万元；建筑、安装工程27078.4599万元；监理676.9615万元。资金来源：除上级补助资金外，剩余部分由市财政按地方政府债券方式筹措解决。</w:t>
      </w:r>
    </w:p>
    <w:p>
      <w:pPr>
        <w:ind w:firstLine="640"/>
        <w:rPr>
          <w:rFonts w:ascii="仿宋_GB2312" w:hAnsi="仿宋_GB2312" w:eastAsia="仿宋_GB2312" w:cs="仿宋_GB2312"/>
          <w:kern w:val="28"/>
          <w:szCs w:val="32"/>
        </w:rPr>
      </w:pPr>
      <w:r>
        <w:rPr>
          <w:rFonts w:hint="eastAsia" w:ascii="仿宋" w:hAnsi="仿宋" w:cs="仿宋_GB2312"/>
          <w:kern w:val="28"/>
          <w:szCs w:val="32"/>
        </w:rPr>
        <w:t>②</w:t>
      </w:r>
      <w:r>
        <w:rPr>
          <w:rFonts w:hint="eastAsia" w:ascii="仿宋_GB2312" w:hAnsi="仿宋_GB2312" w:eastAsia="仿宋_GB2312" w:cs="仿宋_GB2312"/>
          <w:kern w:val="28"/>
          <w:szCs w:val="32"/>
        </w:rPr>
        <w:t>根据2019年5月21日永济市发展和改革局《关于永济沿黄旅游公路改建工程初步设计报告的批复》，该项目初步设计概算总投资30675.8776万元。资金来源：除上级补助资金外，剩余部分由市财政按地方政府债券方式筹措解决。</w:t>
      </w:r>
    </w:p>
    <w:p>
      <w:pPr>
        <w:pStyle w:val="8"/>
        <w:ind w:firstLine="640"/>
        <w:rPr>
          <w:rFonts w:hAnsi="仿宋_GB2312" w:cs="仿宋_GB2312"/>
          <w:kern w:val="28"/>
          <w:szCs w:val="32"/>
        </w:rPr>
      </w:pPr>
      <w:r>
        <w:rPr>
          <w:rFonts w:hint="eastAsia" w:hAnsi="仿宋_GB2312" w:cs="仿宋_GB2312"/>
          <w:kern w:val="28"/>
          <w:szCs w:val="32"/>
        </w:rPr>
        <w:t>（</w:t>
      </w:r>
      <w:r>
        <w:rPr>
          <w:rFonts w:hint="eastAsia" w:ascii="仿宋_GB2312" w:hAnsi="仿宋_GB2312" w:eastAsia="仿宋_GB2312" w:cs="仿宋_GB2312"/>
          <w:kern w:val="28"/>
          <w:szCs w:val="32"/>
        </w:rPr>
        <w:t>2</w:t>
      </w:r>
      <w:r>
        <w:rPr>
          <w:rFonts w:hint="eastAsia" w:hAnsi="仿宋_GB2312" w:cs="仿宋_GB2312"/>
          <w:kern w:val="28"/>
          <w:szCs w:val="32"/>
        </w:rPr>
        <w:t>）本次评价对象</w:t>
      </w:r>
      <w:r>
        <w:rPr>
          <w:rFonts w:hint="eastAsia" w:ascii="仿宋_GB2312" w:hAnsi="仿宋_GB2312" w:eastAsia="仿宋_GB2312" w:cs="仿宋_GB2312"/>
          <w:kern w:val="28"/>
          <w:szCs w:val="32"/>
        </w:rPr>
        <w:t>永济沿黄旅游公路改建工程</w:t>
      </w:r>
      <w:r>
        <w:rPr>
          <w:rFonts w:hint="eastAsia" w:hAnsi="仿宋_GB2312" w:cs="仿宋_GB2312"/>
          <w:kern w:val="28"/>
          <w:szCs w:val="32"/>
        </w:rPr>
        <w:t>二三期预算情况</w:t>
      </w:r>
    </w:p>
    <w:p>
      <w:pPr>
        <w:ind w:firstLine="640"/>
      </w:pPr>
      <w:r>
        <w:rPr>
          <w:rFonts w:hint="eastAsia" w:ascii="仿宋_GB2312" w:hAnsi="仿宋_GB2312" w:eastAsia="仿宋_GB2312" w:cs="仿宋_GB2312"/>
          <w:kern w:val="28"/>
          <w:szCs w:val="32"/>
        </w:rPr>
        <w:t>根据2019年9月20日永济市财政投资评审中心（永财预评报〔2019〕第87号）、2020年5月22日永济市财政投资评审中心（永财预评报〔2020〕第39号）、2020年8月21日永济市财政投资评审中心（永财预评报〔2020〕第109、110、111号），该工程包括杨马-万固寺西段和张营-文学段、西敬庄-张营段、雪花山-万固寺东段道路建设费、安全设施费用以及沿黄二期工程安全技术评估报告费用，项目审定金额10504.43万元，其中工程费用10078万元，前期费用413.75万元，安全技术评估报告费12.68万元</w:t>
      </w:r>
      <w:r>
        <w:rPr>
          <w:rFonts w:hint="eastAsia" w:ascii="仿宋_GB2312" w:hAnsi="仿宋_GB2312" w:eastAsia="仿宋_GB2312" w:cs="仿宋_GB2312"/>
          <w:szCs w:val="32"/>
        </w:rPr>
        <w:t>。具体情况如下表所示：</w:t>
      </w:r>
    </w:p>
    <w:p>
      <w:pPr>
        <w:pStyle w:val="2"/>
        <w:ind w:left="0" w:leftChars="0" w:firstLine="0" w:firstLineChars="0"/>
        <w:jc w:val="center"/>
        <w:rPr>
          <w:rFonts w:ascii="黑体" w:hAnsi="黑体" w:eastAsia="黑体" w:cs="黑体"/>
          <w:sz w:val="28"/>
          <w:szCs w:val="28"/>
        </w:rPr>
      </w:pPr>
      <w:r>
        <w:rPr>
          <w:rFonts w:hint="eastAsia" w:ascii="黑体" w:hAnsi="黑体" w:eastAsia="黑体" w:cs="黑体"/>
          <w:sz w:val="28"/>
          <w:szCs w:val="28"/>
        </w:rPr>
        <w:t>表1-1 项目财政评审情况</w:t>
      </w:r>
    </w:p>
    <w:p>
      <w:pPr>
        <w:ind w:firstLine="480"/>
        <w:jc w:val="right"/>
        <w:rPr>
          <w:rFonts w:ascii="黑体" w:hAnsi="黑体" w:eastAsia="黑体" w:cs="黑体"/>
          <w:sz w:val="24"/>
        </w:rPr>
      </w:pPr>
      <w:r>
        <w:rPr>
          <w:rFonts w:hint="eastAsia" w:ascii="黑体" w:hAnsi="黑体" w:eastAsia="黑体" w:cs="黑体"/>
          <w:sz w:val="24"/>
        </w:rPr>
        <w:t>金额：万元</w:t>
      </w:r>
    </w:p>
    <w:tbl>
      <w:tblPr>
        <w:tblStyle w:val="15"/>
        <w:tblW w:w="55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113"/>
        <w:gridCol w:w="946"/>
        <w:gridCol w:w="921"/>
        <w:gridCol w:w="936"/>
        <w:gridCol w:w="1144"/>
        <w:gridCol w:w="883"/>
        <w:gridCol w:w="920"/>
        <w:gridCol w:w="900"/>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7" w:type="pct"/>
            <w:vMerge w:val="restar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项目标段</w:t>
            </w:r>
          </w:p>
        </w:tc>
        <w:tc>
          <w:tcPr>
            <w:tcW w:w="545" w:type="pct"/>
            <w:vMerge w:val="restart"/>
            <w:shd w:val="clear" w:color="auto" w:fill="BEBEBE"/>
            <w:noWrap/>
            <w:vAlign w:val="center"/>
          </w:tcPr>
          <w:p>
            <w:pPr>
              <w:widowControl/>
              <w:ind w:firstLine="0" w:firstLineChars="0"/>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工程</w:t>
            </w:r>
          </w:p>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费用</w:t>
            </w:r>
          </w:p>
        </w:tc>
        <w:tc>
          <w:tcPr>
            <w:tcW w:w="2818" w:type="pct"/>
            <w:gridSpan w:val="6"/>
            <w:shd w:val="clear" w:color="auto" w:fill="BEBEBE"/>
            <w:noWrap/>
            <w:vAlign w:val="center"/>
          </w:tcPr>
          <w:p>
            <w:pPr>
              <w:widowControl/>
              <w:ind w:firstLine="0" w:firstLineChars="0"/>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前期费用</w:t>
            </w:r>
          </w:p>
        </w:tc>
        <w:tc>
          <w:tcPr>
            <w:tcW w:w="441" w:type="pct"/>
            <w:vMerge w:val="restar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安全技术评估报告费</w:t>
            </w:r>
          </w:p>
        </w:tc>
        <w:tc>
          <w:tcPr>
            <w:tcW w:w="547" w:type="pct"/>
            <w:vMerge w:val="restar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7" w:type="pct"/>
            <w:vMerge w:val="continue"/>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p>
        </w:tc>
        <w:tc>
          <w:tcPr>
            <w:tcW w:w="545" w:type="pct"/>
            <w:vMerge w:val="continue"/>
            <w:shd w:val="clear" w:color="auto" w:fill="BEBEBE"/>
            <w:noWrap/>
            <w:vAlign w:val="center"/>
          </w:tcPr>
          <w:p>
            <w:pPr>
              <w:widowControl/>
              <w:ind w:firstLine="0" w:firstLineChars="0"/>
              <w:jc w:val="center"/>
              <w:textAlignment w:val="center"/>
              <w:rPr>
                <w:rFonts w:ascii="宋体" w:hAnsi="宋体" w:eastAsia="宋体" w:cs="宋体"/>
                <w:b/>
                <w:bCs/>
                <w:color w:val="000000"/>
                <w:sz w:val="22"/>
                <w:szCs w:val="22"/>
              </w:rPr>
            </w:pPr>
          </w:p>
        </w:tc>
        <w:tc>
          <w:tcPr>
            <w:tcW w:w="463" w:type="pct"/>
            <w:shd w:val="clear" w:color="auto" w:fill="BEBEBE"/>
            <w:noWrap/>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管理费</w:t>
            </w:r>
          </w:p>
        </w:tc>
        <w:tc>
          <w:tcPr>
            <w:tcW w:w="451" w:type="pct"/>
            <w:shd w:val="clear" w:color="auto" w:fill="BEBEBE"/>
            <w:noWrap/>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造价费</w:t>
            </w:r>
          </w:p>
        </w:tc>
        <w:tc>
          <w:tcPr>
            <w:tcW w:w="459" w:type="pct"/>
            <w:shd w:val="clear" w:color="auto" w:fill="BEBEBE"/>
            <w:noWrap/>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监理费</w:t>
            </w:r>
          </w:p>
        </w:tc>
        <w:tc>
          <w:tcPr>
            <w:tcW w:w="561" w:type="pct"/>
            <w:shd w:val="clear" w:color="auto" w:fill="BEBEBE"/>
            <w:noWrap/>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竣工验收检测费</w:t>
            </w:r>
          </w:p>
        </w:tc>
        <w:tc>
          <w:tcPr>
            <w:tcW w:w="433" w:type="pct"/>
            <w:shd w:val="clear" w:color="auto" w:fill="BEBEBE"/>
            <w:noWrap/>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图纸设计费</w:t>
            </w:r>
          </w:p>
        </w:tc>
        <w:tc>
          <w:tcPr>
            <w:tcW w:w="449" w:type="pct"/>
            <w:shd w:val="clear" w:color="auto" w:fill="BEBEBE"/>
            <w:noWrap/>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测量放线费</w:t>
            </w:r>
          </w:p>
        </w:tc>
        <w:tc>
          <w:tcPr>
            <w:tcW w:w="441" w:type="pct"/>
            <w:vMerge w:val="continue"/>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p>
        </w:tc>
        <w:tc>
          <w:tcPr>
            <w:tcW w:w="547" w:type="pct"/>
            <w:vMerge w:val="continue"/>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jc w:val="center"/>
        </w:trPr>
        <w:tc>
          <w:tcPr>
            <w:tcW w:w="647" w:type="pct"/>
            <w:noWrap/>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张营-文学、杨马-万固寺西段</w:t>
            </w:r>
          </w:p>
        </w:tc>
        <w:tc>
          <w:tcPr>
            <w:tcW w:w="545" w:type="pct"/>
            <w:noWrap/>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5374.46</w:t>
            </w:r>
          </w:p>
        </w:tc>
        <w:tc>
          <w:tcPr>
            <w:tcW w:w="463" w:type="pct"/>
            <w:noWrap/>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40.00</w:t>
            </w:r>
          </w:p>
        </w:tc>
        <w:tc>
          <w:tcPr>
            <w:tcW w:w="451" w:type="pct"/>
            <w:noWrap/>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11.13</w:t>
            </w:r>
          </w:p>
        </w:tc>
        <w:tc>
          <w:tcPr>
            <w:tcW w:w="459" w:type="pct"/>
            <w:noWrap/>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65.43</w:t>
            </w:r>
          </w:p>
        </w:tc>
        <w:tc>
          <w:tcPr>
            <w:tcW w:w="561" w:type="pct"/>
            <w:noWrap/>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10.22</w:t>
            </w:r>
          </w:p>
        </w:tc>
        <w:tc>
          <w:tcPr>
            <w:tcW w:w="433" w:type="pct"/>
            <w:noWrap/>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86.82</w:t>
            </w:r>
          </w:p>
        </w:tc>
        <w:tc>
          <w:tcPr>
            <w:tcW w:w="449" w:type="pct"/>
            <w:noWrap/>
            <w:vAlign w:val="center"/>
          </w:tcPr>
          <w:p>
            <w:pPr>
              <w:ind w:firstLine="440"/>
              <w:jc w:val="right"/>
              <w:rPr>
                <w:rFonts w:ascii="宋体" w:hAnsi="宋体" w:eastAsia="宋体" w:cs="宋体"/>
                <w:color w:val="000000"/>
                <w:sz w:val="22"/>
                <w:szCs w:val="22"/>
              </w:rPr>
            </w:pPr>
          </w:p>
        </w:tc>
        <w:tc>
          <w:tcPr>
            <w:tcW w:w="441"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color w:val="000000"/>
                <w:kern w:val="0"/>
                <w:sz w:val="22"/>
                <w:szCs w:val="22"/>
                <w:lang w:bidi="ar"/>
              </w:rPr>
              <w:t>12.68</w:t>
            </w:r>
          </w:p>
        </w:tc>
        <w:tc>
          <w:tcPr>
            <w:tcW w:w="547" w:type="pct"/>
            <w:noWrap/>
            <w:vAlign w:val="center"/>
          </w:tcPr>
          <w:p>
            <w:pPr>
              <w:widowControl/>
              <w:ind w:firstLine="0" w:firstLineChars="0"/>
              <w:jc w:val="righ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5600.74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7" w:type="pct"/>
            <w:noWrap/>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西敬庄-张营</w:t>
            </w:r>
          </w:p>
        </w:tc>
        <w:tc>
          <w:tcPr>
            <w:tcW w:w="545"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2165.53</w:t>
            </w:r>
          </w:p>
        </w:tc>
        <w:tc>
          <w:tcPr>
            <w:tcW w:w="463"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5.00</w:t>
            </w:r>
          </w:p>
        </w:tc>
        <w:tc>
          <w:tcPr>
            <w:tcW w:w="451"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7.18</w:t>
            </w:r>
          </w:p>
        </w:tc>
        <w:tc>
          <w:tcPr>
            <w:tcW w:w="459"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29.62</w:t>
            </w:r>
          </w:p>
        </w:tc>
        <w:tc>
          <w:tcPr>
            <w:tcW w:w="561"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3.50</w:t>
            </w:r>
          </w:p>
        </w:tc>
        <w:tc>
          <w:tcPr>
            <w:tcW w:w="433"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42.36</w:t>
            </w:r>
          </w:p>
        </w:tc>
        <w:tc>
          <w:tcPr>
            <w:tcW w:w="449"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1.50</w:t>
            </w:r>
          </w:p>
        </w:tc>
        <w:tc>
          <w:tcPr>
            <w:tcW w:w="441"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p>
        </w:tc>
        <w:tc>
          <w:tcPr>
            <w:tcW w:w="547"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2254.69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7" w:type="pct"/>
            <w:noWrap/>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雪花山-万固寺东段</w:t>
            </w:r>
          </w:p>
        </w:tc>
        <w:tc>
          <w:tcPr>
            <w:tcW w:w="545"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2077.13</w:t>
            </w:r>
          </w:p>
        </w:tc>
        <w:tc>
          <w:tcPr>
            <w:tcW w:w="463"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5.00</w:t>
            </w:r>
          </w:p>
        </w:tc>
        <w:tc>
          <w:tcPr>
            <w:tcW w:w="451"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6.96</w:t>
            </w:r>
          </w:p>
        </w:tc>
        <w:tc>
          <w:tcPr>
            <w:tcW w:w="459"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28.54</w:t>
            </w:r>
          </w:p>
        </w:tc>
        <w:tc>
          <w:tcPr>
            <w:tcW w:w="561"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3.95</w:t>
            </w:r>
          </w:p>
        </w:tc>
        <w:tc>
          <w:tcPr>
            <w:tcW w:w="433"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40.78</w:t>
            </w:r>
          </w:p>
        </w:tc>
        <w:tc>
          <w:tcPr>
            <w:tcW w:w="449"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2.00</w:t>
            </w:r>
          </w:p>
        </w:tc>
        <w:tc>
          <w:tcPr>
            <w:tcW w:w="441"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p>
        </w:tc>
        <w:tc>
          <w:tcPr>
            <w:tcW w:w="547"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2164.36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7" w:type="pct"/>
            <w:noWrap/>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安保</w:t>
            </w:r>
          </w:p>
        </w:tc>
        <w:tc>
          <w:tcPr>
            <w:tcW w:w="545"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460.88</w:t>
            </w:r>
          </w:p>
        </w:tc>
        <w:tc>
          <w:tcPr>
            <w:tcW w:w="463"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2.00</w:t>
            </w:r>
          </w:p>
        </w:tc>
        <w:tc>
          <w:tcPr>
            <w:tcW w:w="451"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1.77</w:t>
            </w:r>
          </w:p>
        </w:tc>
        <w:tc>
          <w:tcPr>
            <w:tcW w:w="459"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8.42</w:t>
            </w:r>
          </w:p>
        </w:tc>
        <w:tc>
          <w:tcPr>
            <w:tcW w:w="561"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0.88</w:t>
            </w:r>
          </w:p>
        </w:tc>
        <w:tc>
          <w:tcPr>
            <w:tcW w:w="433"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10.69</w:t>
            </w:r>
          </w:p>
        </w:tc>
        <w:tc>
          <w:tcPr>
            <w:tcW w:w="449"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p>
        </w:tc>
        <w:tc>
          <w:tcPr>
            <w:tcW w:w="441"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p>
        </w:tc>
        <w:tc>
          <w:tcPr>
            <w:tcW w:w="547"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484.64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jc w:val="center"/>
        </w:trPr>
        <w:tc>
          <w:tcPr>
            <w:tcW w:w="647" w:type="pct"/>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c>
          <w:tcPr>
            <w:tcW w:w="545"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10078.00</w:t>
            </w:r>
          </w:p>
        </w:tc>
        <w:tc>
          <w:tcPr>
            <w:tcW w:w="463"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52.00</w:t>
            </w:r>
          </w:p>
        </w:tc>
        <w:tc>
          <w:tcPr>
            <w:tcW w:w="451"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27.04</w:t>
            </w:r>
          </w:p>
        </w:tc>
        <w:tc>
          <w:tcPr>
            <w:tcW w:w="459"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132.01</w:t>
            </w:r>
          </w:p>
        </w:tc>
        <w:tc>
          <w:tcPr>
            <w:tcW w:w="561"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18.55</w:t>
            </w:r>
          </w:p>
        </w:tc>
        <w:tc>
          <w:tcPr>
            <w:tcW w:w="433"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180.65</w:t>
            </w:r>
          </w:p>
        </w:tc>
        <w:tc>
          <w:tcPr>
            <w:tcW w:w="449"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3.50</w:t>
            </w:r>
          </w:p>
        </w:tc>
        <w:tc>
          <w:tcPr>
            <w:tcW w:w="441"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12.68</w:t>
            </w:r>
          </w:p>
        </w:tc>
        <w:tc>
          <w:tcPr>
            <w:tcW w:w="547"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10504.43</w:t>
            </w:r>
          </w:p>
        </w:tc>
      </w:tr>
    </w:tbl>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2.资金到位情况</w:t>
      </w:r>
    </w:p>
    <w:p>
      <w:pPr>
        <w:ind w:firstLine="640"/>
        <w:jc w:val="both"/>
      </w:pPr>
      <w:r>
        <w:rPr>
          <w:rFonts w:hint="eastAsia" w:ascii="仿宋_GB2312" w:hAnsi="仿宋_GB2312" w:eastAsia="仿宋_GB2312" w:cs="仿宋_GB2312"/>
          <w:kern w:val="28"/>
          <w:szCs w:val="32"/>
        </w:rPr>
        <w:t>根据永济市财政局永财建〔2019〕19号、永财预非税指〔2020〕016号等文件，截至2022年8月31日，永济沿黄旅游公路改建工程二三期累计到位财政资金13005.074819万元，其中：省级资金5705万元，市级资金7300.074819万元</w:t>
      </w:r>
      <w:r>
        <w:rPr>
          <w:rFonts w:hint="eastAsia" w:ascii="仿宋_GB2312" w:hAnsi="仿宋_GB2312" w:eastAsia="仿宋_GB2312" w:cs="仿宋_GB2312"/>
          <w:szCs w:val="32"/>
        </w:rPr>
        <w:t>。具体情况如下表所示：</w:t>
      </w:r>
    </w:p>
    <w:p>
      <w:pPr>
        <w:spacing w:line="360" w:lineRule="exact"/>
        <w:ind w:firstLine="0" w:firstLineChars="0"/>
        <w:jc w:val="center"/>
        <w:rPr>
          <w:rFonts w:ascii="仿宋" w:hAnsi="仿宋" w:eastAsia="黑体" w:cs="仿宋"/>
          <w:sz w:val="28"/>
          <w:szCs w:val="28"/>
        </w:rPr>
      </w:pPr>
      <w:r>
        <w:rPr>
          <w:rFonts w:hint="eastAsia" w:ascii="黑体" w:hAnsi="黑体" w:eastAsia="黑体" w:cs="黑体"/>
          <w:sz w:val="28"/>
          <w:szCs w:val="28"/>
        </w:rPr>
        <w:t>表1-2 资金到位情况</w:t>
      </w:r>
    </w:p>
    <w:p>
      <w:pPr>
        <w:spacing w:line="360" w:lineRule="exact"/>
        <w:ind w:firstLine="0" w:firstLineChars="0"/>
        <w:jc w:val="right"/>
        <w:rPr>
          <w:rFonts w:ascii="黑体" w:hAnsi="黑体" w:eastAsia="黑体" w:cs="黑体"/>
          <w:sz w:val="28"/>
          <w:szCs w:val="28"/>
        </w:rPr>
      </w:pPr>
      <w:r>
        <w:rPr>
          <w:rFonts w:hint="eastAsia" w:ascii="黑体" w:hAnsi="黑体" w:eastAsia="黑体" w:cs="黑体"/>
          <w:sz w:val="24"/>
        </w:rPr>
        <w:t xml:space="preserve"> 金额单位：万元</w:t>
      </w:r>
    </w:p>
    <w:tbl>
      <w:tblPr>
        <w:tblStyle w:val="16"/>
        <w:tblW w:w="8930"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275"/>
        <w:gridCol w:w="1170"/>
        <w:gridCol w:w="139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blHeader/>
        </w:trPr>
        <w:tc>
          <w:tcPr>
            <w:tcW w:w="1575" w:type="dxa"/>
            <w:shd w:val="clear" w:color="auto" w:fill="D7D7D7" w:themeFill="background1" w:themeFillShade="D8"/>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时间</w:t>
            </w:r>
          </w:p>
        </w:tc>
        <w:tc>
          <w:tcPr>
            <w:tcW w:w="327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文号</w:t>
            </w:r>
          </w:p>
        </w:tc>
        <w:tc>
          <w:tcPr>
            <w:tcW w:w="1170"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省级资金</w:t>
            </w:r>
          </w:p>
        </w:tc>
        <w:tc>
          <w:tcPr>
            <w:tcW w:w="139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市级资金</w:t>
            </w:r>
          </w:p>
        </w:tc>
        <w:tc>
          <w:tcPr>
            <w:tcW w:w="151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201</w:t>
            </w:r>
            <w:r>
              <w:rPr>
                <w:rFonts w:hint="eastAsia" w:ascii="宋体" w:hAnsi="宋体" w:eastAsia="宋体" w:cs="宋体"/>
                <w:sz w:val="21"/>
                <w:szCs w:val="21"/>
              </w:rPr>
              <w:t>9.</w:t>
            </w:r>
            <w:r>
              <w:rPr>
                <w:rFonts w:ascii="宋体" w:hAnsi="宋体" w:eastAsia="宋体" w:cs="宋体"/>
                <w:sz w:val="21"/>
                <w:szCs w:val="21"/>
              </w:rPr>
              <w:t>5</w:t>
            </w:r>
            <w:r>
              <w:rPr>
                <w:rFonts w:hint="eastAsia" w:ascii="宋体" w:hAnsi="宋体" w:eastAsia="宋体" w:cs="宋体"/>
                <w:sz w:val="21"/>
                <w:szCs w:val="21"/>
              </w:rPr>
              <w:t>.</w:t>
            </w:r>
            <w:r>
              <w:rPr>
                <w:rFonts w:ascii="宋体" w:hAnsi="宋体" w:eastAsia="宋体" w:cs="宋体"/>
                <w:sz w:val="21"/>
                <w:szCs w:val="21"/>
              </w:rPr>
              <w:t>6</w:t>
            </w:r>
          </w:p>
        </w:tc>
        <w:tc>
          <w:tcPr>
            <w:tcW w:w="327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永财建〔2019〕19号</w:t>
            </w:r>
          </w:p>
        </w:tc>
        <w:tc>
          <w:tcPr>
            <w:tcW w:w="1170"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1670.00</w:t>
            </w:r>
          </w:p>
        </w:tc>
        <w:tc>
          <w:tcPr>
            <w:tcW w:w="1395" w:type="dxa"/>
            <w:vAlign w:val="center"/>
          </w:tcPr>
          <w:p>
            <w:pPr>
              <w:spacing w:line="240" w:lineRule="auto"/>
              <w:ind w:firstLine="0" w:firstLineChars="0"/>
              <w:jc w:val="right"/>
              <w:rPr>
                <w:rFonts w:ascii="宋体" w:hAnsi="宋体" w:eastAsia="宋体" w:cs="宋体"/>
                <w:sz w:val="21"/>
                <w:szCs w:val="21"/>
              </w:rPr>
            </w:pP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1670.00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1</w:t>
            </w:r>
            <w:r>
              <w:rPr>
                <w:rFonts w:hint="eastAsia" w:ascii="宋体" w:hAnsi="宋体" w:eastAsia="宋体" w:cs="宋体"/>
                <w:sz w:val="21"/>
                <w:szCs w:val="21"/>
              </w:rPr>
              <w:t>.</w:t>
            </w:r>
            <w:r>
              <w:rPr>
                <w:rFonts w:ascii="宋体" w:hAnsi="宋体" w:eastAsia="宋体" w:cs="宋体"/>
                <w:sz w:val="21"/>
                <w:szCs w:val="21"/>
              </w:rPr>
              <w:t>19</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永财建〔2020〕14号</w:t>
            </w:r>
          </w:p>
        </w:tc>
        <w:tc>
          <w:tcPr>
            <w:tcW w:w="1170"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4035.00 </w:t>
            </w:r>
          </w:p>
        </w:tc>
        <w:tc>
          <w:tcPr>
            <w:tcW w:w="1395" w:type="dxa"/>
            <w:vAlign w:val="center"/>
          </w:tcPr>
          <w:p>
            <w:pPr>
              <w:spacing w:line="240" w:lineRule="auto"/>
              <w:ind w:firstLine="0" w:firstLineChars="0"/>
              <w:jc w:val="right"/>
              <w:rPr>
                <w:rFonts w:ascii="宋体" w:hAnsi="宋体" w:eastAsia="宋体" w:cs="宋体"/>
                <w:sz w:val="21"/>
                <w:szCs w:val="21"/>
              </w:rPr>
            </w:pP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4035.00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2</w:t>
            </w:r>
            <w:r>
              <w:rPr>
                <w:rFonts w:hint="eastAsia" w:ascii="宋体" w:hAnsi="宋体" w:eastAsia="宋体" w:cs="宋体"/>
                <w:sz w:val="21"/>
                <w:szCs w:val="21"/>
              </w:rPr>
              <w:t>.</w:t>
            </w:r>
            <w:r>
              <w:rPr>
                <w:rFonts w:ascii="宋体" w:hAnsi="宋体" w:eastAsia="宋体" w:cs="宋体"/>
                <w:sz w:val="21"/>
                <w:szCs w:val="21"/>
              </w:rPr>
              <w:t>28</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永财预非税指〔2020〕016号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1110.97643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1110.97643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4</w:t>
            </w:r>
            <w:r>
              <w:rPr>
                <w:rFonts w:hint="eastAsia" w:ascii="宋体" w:hAnsi="宋体" w:eastAsia="宋体" w:cs="宋体"/>
                <w:sz w:val="21"/>
                <w:szCs w:val="21"/>
              </w:rPr>
              <w:t>.</w:t>
            </w:r>
            <w:r>
              <w:rPr>
                <w:rFonts w:ascii="宋体" w:hAnsi="宋体" w:eastAsia="宋体" w:cs="宋体"/>
                <w:sz w:val="21"/>
                <w:szCs w:val="21"/>
              </w:rPr>
              <w:t>13</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永财预非税指〔2020〕032号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105.81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105.81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9</w:t>
            </w:r>
            <w:r>
              <w:rPr>
                <w:rFonts w:hint="eastAsia" w:ascii="宋体" w:hAnsi="宋体" w:eastAsia="宋体" w:cs="宋体"/>
                <w:sz w:val="21"/>
                <w:szCs w:val="21"/>
              </w:rPr>
              <w:t>.</w:t>
            </w:r>
            <w:r>
              <w:rPr>
                <w:rFonts w:ascii="宋体" w:hAnsi="宋体" w:eastAsia="宋体" w:cs="宋体"/>
                <w:sz w:val="21"/>
                <w:szCs w:val="21"/>
              </w:rPr>
              <w:t>15</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永财预非税指〔2020〕095/96号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61.50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61.50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9</w:t>
            </w:r>
            <w:r>
              <w:rPr>
                <w:rFonts w:hint="eastAsia" w:ascii="宋体" w:hAnsi="宋体" w:eastAsia="宋体" w:cs="宋体"/>
                <w:sz w:val="21"/>
                <w:szCs w:val="21"/>
              </w:rPr>
              <w:t>.</w:t>
            </w:r>
            <w:r>
              <w:rPr>
                <w:rFonts w:ascii="宋体" w:hAnsi="宋体" w:eastAsia="宋体" w:cs="宋体"/>
                <w:sz w:val="21"/>
                <w:szCs w:val="21"/>
              </w:rPr>
              <w:t>21</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永财预〔2020〕012号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1000.00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2021</w:t>
            </w:r>
            <w:r>
              <w:rPr>
                <w:rFonts w:hint="eastAsia" w:ascii="宋体" w:hAnsi="宋体" w:eastAsia="宋体" w:cs="宋体"/>
                <w:sz w:val="21"/>
                <w:szCs w:val="21"/>
              </w:rPr>
              <w:t>.</w:t>
            </w:r>
            <w:r>
              <w:rPr>
                <w:rFonts w:ascii="宋体" w:hAnsi="宋体" w:eastAsia="宋体" w:cs="宋体"/>
                <w:sz w:val="21"/>
                <w:szCs w:val="21"/>
              </w:rPr>
              <w:t>2</w:t>
            </w:r>
            <w:r>
              <w:rPr>
                <w:rFonts w:hint="eastAsia" w:ascii="宋体" w:hAnsi="宋体" w:eastAsia="宋体" w:cs="宋体"/>
                <w:sz w:val="21"/>
                <w:szCs w:val="21"/>
              </w:rPr>
              <w:t>.</w:t>
            </w:r>
            <w:r>
              <w:rPr>
                <w:rFonts w:ascii="宋体" w:hAnsi="宋体" w:eastAsia="宋体" w:cs="宋体"/>
                <w:sz w:val="21"/>
                <w:szCs w:val="21"/>
              </w:rPr>
              <w:t>8</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永财预非税指〔2021〕008号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1205.217189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1205.217189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2021</w:t>
            </w:r>
            <w:r>
              <w:rPr>
                <w:rFonts w:hint="eastAsia" w:ascii="宋体" w:hAnsi="宋体" w:eastAsia="宋体" w:cs="宋体"/>
                <w:sz w:val="21"/>
                <w:szCs w:val="21"/>
              </w:rPr>
              <w:t>.</w:t>
            </w:r>
            <w:r>
              <w:rPr>
                <w:rFonts w:ascii="宋体" w:hAnsi="宋体" w:eastAsia="宋体" w:cs="宋体"/>
                <w:sz w:val="21"/>
                <w:szCs w:val="21"/>
              </w:rPr>
              <w:t>6</w:t>
            </w:r>
            <w:r>
              <w:rPr>
                <w:rFonts w:hint="eastAsia" w:ascii="宋体" w:hAnsi="宋体" w:eastAsia="宋体" w:cs="宋体"/>
                <w:sz w:val="21"/>
                <w:szCs w:val="21"/>
              </w:rPr>
              <w:t>.</w:t>
            </w:r>
            <w:r>
              <w:rPr>
                <w:rFonts w:ascii="宋体" w:hAnsi="宋体" w:eastAsia="宋体" w:cs="宋体"/>
                <w:sz w:val="21"/>
                <w:szCs w:val="21"/>
              </w:rPr>
              <w:t>28</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永财预〔2021〕004号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3600.00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2021</w:t>
            </w:r>
            <w:r>
              <w:rPr>
                <w:rFonts w:hint="eastAsia" w:ascii="宋体" w:hAnsi="宋体" w:eastAsia="宋体" w:cs="宋体"/>
                <w:sz w:val="21"/>
                <w:szCs w:val="21"/>
              </w:rPr>
              <w:t>.</w:t>
            </w:r>
            <w:r>
              <w:rPr>
                <w:rFonts w:ascii="宋体" w:hAnsi="宋体" w:eastAsia="宋体" w:cs="宋体"/>
                <w:sz w:val="21"/>
                <w:szCs w:val="21"/>
              </w:rPr>
              <w:t>6</w:t>
            </w:r>
            <w:r>
              <w:rPr>
                <w:rFonts w:hint="eastAsia" w:ascii="宋体" w:hAnsi="宋体" w:eastAsia="宋体" w:cs="宋体"/>
                <w:sz w:val="21"/>
                <w:szCs w:val="21"/>
              </w:rPr>
              <w:t>.</w:t>
            </w:r>
            <w:r>
              <w:rPr>
                <w:rFonts w:ascii="宋体" w:hAnsi="宋体" w:eastAsia="宋体" w:cs="宋体"/>
                <w:sz w:val="21"/>
                <w:szCs w:val="21"/>
              </w:rPr>
              <w:t>29</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永财预非税指〔2021〕067号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95.9459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95.9459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2022</w:t>
            </w:r>
            <w:r>
              <w:rPr>
                <w:rFonts w:hint="eastAsia" w:ascii="宋体" w:hAnsi="宋体" w:eastAsia="宋体" w:cs="宋体"/>
                <w:sz w:val="21"/>
                <w:szCs w:val="21"/>
              </w:rPr>
              <w:t>.</w:t>
            </w:r>
            <w:r>
              <w:rPr>
                <w:rFonts w:ascii="宋体" w:hAnsi="宋体" w:eastAsia="宋体" w:cs="宋体"/>
                <w:sz w:val="21"/>
                <w:szCs w:val="21"/>
              </w:rPr>
              <w:t>4</w:t>
            </w:r>
            <w:r>
              <w:rPr>
                <w:rFonts w:hint="eastAsia" w:ascii="宋体" w:hAnsi="宋体" w:eastAsia="宋体" w:cs="宋体"/>
                <w:sz w:val="21"/>
                <w:szCs w:val="21"/>
              </w:rPr>
              <w:t>.</w:t>
            </w:r>
            <w:r>
              <w:rPr>
                <w:rFonts w:ascii="宋体" w:hAnsi="宋体" w:eastAsia="宋体" w:cs="宋体"/>
                <w:sz w:val="21"/>
                <w:szCs w:val="21"/>
              </w:rPr>
              <w:t>25</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永财预非税指〔2022〕021号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120.6253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120.6253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850" w:type="dxa"/>
            <w:gridSpan w:val="2"/>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 计</w:t>
            </w:r>
          </w:p>
        </w:tc>
        <w:tc>
          <w:tcPr>
            <w:tcW w:w="1170" w:type="dxa"/>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5705.00</w:t>
            </w:r>
          </w:p>
        </w:tc>
        <w:tc>
          <w:tcPr>
            <w:tcW w:w="1395" w:type="dxa"/>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7300.074819</w:t>
            </w:r>
          </w:p>
        </w:tc>
        <w:tc>
          <w:tcPr>
            <w:tcW w:w="1515"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13005.074819</w:t>
            </w:r>
          </w:p>
        </w:tc>
      </w:tr>
    </w:tbl>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3.资金支出情况</w:t>
      </w:r>
    </w:p>
    <w:p>
      <w:pPr>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rPr>
        <w:t>截至2022年8月31日，永济沿黄旅游公路改建工程二三期累计支出资金11682.056426万元，园林及绿化累计支出1043.106033万元（为永济沿黄旅游公路改建工程总项目中的子项目，不包含在本次评价中），财政收回52.289069万元，单位结余财政资金227.623291万元</w:t>
      </w:r>
      <w:r>
        <w:rPr>
          <w:rFonts w:hint="eastAsia" w:ascii="仿宋_GB2312" w:hAnsi="仿宋_GB2312" w:eastAsia="仿宋_GB2312" w:cs="仿宋_GB2312"/>
          <w:szCs w:val="32"/>
        </w:rPr>
        <w:t>。具体支出情况如下表所示：</w:t>
      </w:r>
    </w:p>
    <w:p>
      <w:pPr>
        <w:spacing w:line="360" w:lineRule="exact"/>
        <w:ind w:firstLine="0" w:firstLineChars="0"/>
        <w:jc w:val="center"/>
        <w:rPr>
          <w:rFonts w:ascii="黑体" w:hAnsi="黑体" w:eastAsia="黑体" w:cs="黑体"/>
          <w:sz w:val="24"/>
        </w:rPr>
      </w:pPr>
      <w:r>
        <w:rPr>
          <w:rFonts w:hint="eastAsia" w:ascii="黑体" w:hAnsi="黑体" w:eastAsia="黑体" w:cs="黑体"/>
          <w:sz w:val="28"/>
          <w:szCs w:val="28"/>
        </w:rPr>
        <w:t>表1-3 资金使用情况</w:t>
      </w:r>
    </w:p>
    <w:tbl>
      <w:tblPr>
        <w:tblStyle w:val="15"/>
        <w:tblW w:w="48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1"/>
        <w:gridCol w:w="1938"/>
        <w:gridCol w:w="1881"/>
        <w:gridCol w:w="1683"/>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bookmarkStart w:id="41" w:name="_Toc20032"/>
            <w:bookmarkStart w:id="42" w:name="_Toc26110"/>
            <w:r>
              <w:rPr>
                <w:rFonts w:hint="eastAsia" w:cs="宋体"/>
                <w:b/>
                <w:bCs/>
                <w:sz w:val="21"/>
                <w:szCs w:val="21"/>
              </w:rPr>
              <w:t>项目标段</w:t>
            </w:r>
          </w:p>
        </w:tc>
        <w:tc>
          <w:tcPr>
            <w:tcW w:w="1078" w:type="pc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合同价        （万元）</w:t>
            </w:r>
          </w:p>
        </w:tc>
        <w:tc>
          <w:tcPr>
            <w:tcW w:w="1047" w:type="pc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已付价款     （万元）</w:t>
            </w:r>
          </w:p>
        </w:tc>
        <w:tc>
          <w:tcPr>
            <w:tcW w:w="937" w:type="pc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未付价款   （万元）</w:t>
            </w:r>
          </w:p>
        </w:tc>
        <w:tc>
          <w:tcPr>
            <w:tcW w:w="601" w:type="pc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支付率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张营-黄龙</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886.6235</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751.85675</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134.76675</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黄龙-大鸳鸯</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1085.2383</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922.45159</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162.78671</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大鸳鸯-南苏</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1008.3951</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775.11743</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233.27767</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南苏-太吕</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903.8668</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756.36244</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147.50436</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太吕-韩家庄</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871.2698</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735.0381</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136.2317</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杨马-万固寺西段</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613.0105</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545.6674</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67.3431</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西敬庄-张营</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2165.0058</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1830.3077</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334.6981</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雪花山-万固寺东段（1）</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1416.4819</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1331.0916</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85.3903</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雪花山-万固寺东段（2）</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659.1927</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557.84941</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101.34329</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安保</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459.9006</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390.91548</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68.98512</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监理</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131.16</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124.58</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6.58</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土地征用及拆迁补偿费</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2447.78575</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2447.78575</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检测费</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18.15</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18.15</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勘察设计费</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506.389</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440.3688</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66.0202</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技术评估费</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12.68</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12.68</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造价费</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27.04</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27.04</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管理费</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14.793976</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14.793976</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c>
          <w:tcPr>
            <w:tcW w:w="1078" w:type="pct"/>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13226.983726</w:t>
            </w:r>
          </w:p>
        </w:tc>
        <w:tc>
          <w:tcPr>
            <w:tcW w:w="1047" w:type="pct"/>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11682.056426</w:t>
            </w:r>
          </w:p>
        </w:tc>
        <w:tc>
          <w:tcPr>
            <w:tcW w:w="937" w:type="pct"/>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1544.9273</w:t>
            </w:r>
          </w:p>
        </w:tc>
        <w:tc>
          <w:tcPr>
            <w:tcW w:w="601" w:type="pct"/>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88.32%</w:t>
            </w:r>
          </w:p>
        </w:tc>
      </w:tr>
    </w:tbl>
    <w:p>
      <w:pPr>
        <w:pStyle w:val="6"/>
        <w:ind w:firstLine="643"/>
      </w:pPr>
      <w:r>
        <w:rPr>
          <w:rFonts w:hint="eastAsia"/>
        </w:rPr>
        <w:t>（三）项目绩效目标</w:t>
      </w:r>
      <w:bookmarkEnd w:id="41"/>
      <w:bookmarkEnd w:id="42"/>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根据项目绩效目标申报表等相关资料，评价组梳理出以下绩效目标：</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1.项目绩效总目标</w:t>
      </w:r>
    </w:p>
    <w:p>
      <w:pPr>
        <w:ind w:firstLine="640"/>
        <w:jc w:val="both"/>
        <w:rPr>
          <w:rFonts w:ascii="仿宋_GB2312" w:hAnsi="仿宋_GB2312" w:eastAsia="仿宋_GB2312" w:cs="仿宋_GB2312"/>
          <w:szCs w:val="32"/>
        </w:rPr>
      </w:pPr>
      <w:r>
        <w:rPr>
          <w:rFonts w:hint="eastAsia" w:ascii="Times New Roman" w:hAnsi="Times New Roman" w:eastAsia="仿宋_GB2312"/>
          <w:szCs w:val="32"/>
        </w:rPr>
        <w:t>进一步完善永济市的旅游公路，改善基础设施、生产运输条件，为沿线地区经济社会发展提供优质的交通服务，促进永济市经济和旅游业的发展，把旅游公路建设与本地旅游资源深度融合，有效串联沿线旅游景点，改善交通面貌的同时助力当地经济发展，带动富民增收，改善人民的生活环境</w:t>
      </w:r>
      <w:r>
        <w:rPr>
          <w:rFonts w:hint="eastAsia" w:ascii="仿宋_GB2312" w:hAnsi="仿宋_GB2312" w:eastAsia="仿宋_GB2312" w:cs="仿宋_GB2312"/>
          <w:szCs w:val="32"/>
        </w:rPr>
        <w:t xml:space="preserve">。 </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2.项目绩效指标</w:t>
      </w:r>
    </w:p>
    <w:p>
      <w:pPr>
        <w:ind w:firstLine="640"/>
        <w:jc w:val="both"/>
      </w:pPr>
      <w:r>
        <w:rPr>
          <w:rFonts w:hint="eastAsia" w:ascii="仿宋_GB2312" w:hAnsi="仿宋_GB2312" w:eastAsia="仿宋_GB2312" w:cs="仿宋_GB2312"/>
          <w:szCs w:val="32"/>
        </w:rPr>
        <w:t>（1）产出指标</w:t>
      </w:r>
    </w:p>
    <w:tbl>
      <w:tblPr>
        <w:tblStyle w:val="15"/>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7"/>
        <w:gridCol w:w="2565"/>
        <w:gridCol w:w="786"/>
        <w:gridCol w:w="241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327" w:type="dxa"/>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bookmarkStart w:id="43" w:name="_Toc28939"/>
            <w:bookmarkStart w:id="44" w:name="_Toc31676"/>
            <w:bookmarkStart w:id="45" w:name="_Toc4820"/>
            <w:bookmarkStart w:id="46" w:name="_Toc13585"/>
            <w:bookmarkStart w:id="47" w:name="_Toc1086"/>
            <w:r>
              <w:rPr>
                <w:rFonts w:hint="eastAsia" w:cs="宋体"/>
                <w:b/>
                <w:bCs/>
                <w:sz w:val="21"/>
                <w:szCs w:val="21"/>
              </w:rPr>
              <w:t>项目名称</w:t>
            </w:r>
          </w:p>
        </w:tc>
        <w:tc>
          <w:tcPr>
            <w:tcW w:w="2565" w:type="dxa"/>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数量指标</w:t>
            </w:r>
          </w:p>
        </w:tc>
        <w:tc>
          <w:tcPr>
            <w:tcW w:w="786" w:type="dxa"/>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质量 指标</w:t>
            </w:r>
          </w:p>
        </w:tc>
        <w:tc>
          <w:tcPr>
            <w:tcW w:w="2415" w:type="dxa"/>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时效指标</w:t>
            </w:r>
          </w:p>
        </w:tc>
        <w:tc>
          <w:tcPr>
            <w:tcW w:w="855" w:type="dxa"/>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成本  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blHeader/>
          <w:jc w:val="center"/>
        </w:trPr>
        <w:tc>
          <w:tcPr>
            <w:tcW w:w="2327"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张营至文学段</w:t>
            </w:r>
          </w:p>
        </w:tc>
        <w:tc>
          <w:tcPr>
            <w:tcW w:w="256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道路长17.178千米。</w:t>
            </w:r>
          </w:p>
        </w:tc>
        <w:tc>
          <w:tcPr>
            <w:tcW w:w="786"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2019.12.1-2020.11.30共计365日历天</w:t>
            </w:r>
          </w:p>
        </w:tc>
        <w:tc>
          <w:tcPr>
            <w:tcW w:w="85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327"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杨马至万固寺段</w:t>
            </w:r>
          </w:p>
        </w:tc>
        <w:tc>
          <w:tcPr>
            <w:tcW w:w="256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道路长3.27千米。</w:t>
            </w:r>
          </w:p>
        </w:tc>
        <w:tc>
          <w:tcPr>
            <w:tcW w:w="786"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2019.12.1-2020.11.30共计365日历天</w:t>
            </w:r>
          </w:p>
        </w:tc>
        <w:tc>
          <w:tcPr>
            <w:tcW w:w="85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327"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西敬庄至张营段</w:t>
            </w:r>
          </w:p>
        </w:tc>
        <w:tc>
          <w:tcPr>
            <w:tcW w:w="256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道路长6.227千米。</w:t>
            </w:r>
          </w:p>
        </w:tc>
        <w:tc>
          <w:tcPr>
            <w:tcW w:w="786"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2020.10.20-2021.7.20共计270日历天</w:t>
            </w:r>
          </w:p>
        </w:tc>
        <w:tc>
          <w:tcPr>
            <w:tcW w:w="85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jc w:val="center"/>
        </w:trPr>
        <w:tc>
          <w:tcPr>
            <w:tcW w:w="2327"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雪花山至万固寺东段（一标）</w:t>
            </w:r>
          </w:p>
        </w:tc>
        <w:tc>
          <w:tcPr>
            <w:tcW w:w="256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道路长4.725千米。</w:t>
            </w:r>
          </w:p>
        </w:tc>
        <w:tc>
          <w:tcPr>
            <w:tcW w:w="786"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2020.10.20-2021.7.20共计270日历天</w:t>
            </w:r>
          </w:p>
        </w:tc>
        <w:tc>
          <w:tcPr>
            <w:tcW w:w="85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blHeader/>
          <w:jc w:val="center"/>
        </w:trPr>
        <w:tc>
          <w:tcPr>
            <w:tcW w:w="2327"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雪花山至万固寺东段（二标）</w:t>
            </w:r>
          </w:p>
        </w:tc>
        <w:tc>
          <w:tcPr>
            <w:tcW w:w="256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道路长4.739千米。</w:t>
            </w:r>
          </w:p>
        </w:tc>
        <w:tc>
          <w:tcPr>
            <w:tcW w:w="786"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2020.10.20-2021.7.20共计275日历天</w:t>
            </w:r>
          </w:p>
        </w:tc>
        <w:tc>
          <w:tcPr>
            <w:tcW w:w="85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327"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安保</w:t>
            </w:r>
          </w:p>
        </w:tc>
        <w:tc>
          <w:tcPr>
            <w:tcW w:w="256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波形护栏16460米、交通标志144块、交通标线8838.3平方米、里程碑20个、百米桩185个。</w:t>
            </w:r>
          </w:p>
        </w:tc>
        <w:tc>
          <w:tcPr>
            <w:tcW w:w="786"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合格</w:t>
            </w:r>
          </w:p>
        </w:tc>
        <w:tc>
          <w:tcPr>
            <w:tcW w:w="241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2020.10.20-2021.7.20共计275日历天</w:t>
            </w:r>
          </w:p>
        </w:tc>
        <w:tc>
          <w:tcPr>
            <w:tcW w:w="85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bl>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（2）效益指标</w:t>
      </w:r>
    </w:p>
    <w:p>
      <w:pPr>
        <w:pStyle w:val="11"/>
        <w:spacing w:line="600" w:lineRule="exact"/>
        <w:ind w:firstLine="640"/>
        <w:rPr>
          <w:rFonts w:ascii="Times New Roman" w:hAnsi="Times New Roman" w:eastAsia="仿宋_GB2312"/>
          <w:szCs w:val="32"/>
        </w:rPr>
      </w:pPr>
      <w:r>
        <w:rPr>
          <w:rFonts w:hint="eastAsia" w:ascii="Times New Roman" w:hAnsi="Times New Roman" w:eastAsia="仿宋_GB2312"/>
          <w:szCs w:val="32"/>
        </w:rPr>
        <w:t>社会效益：改善交通路网情况；促进旅游业发展。</w:t>
      </w:r>
    </w:p>
    <w:p>
      <w:pPr>
        <w:pStyle w:val="11"/>
        <w:spacing w:line="600" w:lineRule="exact"/>
        <w:ind w:firstLine="640"/>
        <w:rPr>
          <w:rFonts w:ascii="Times New Roman" w:hAnsi="Times New Roman" w:eastAsia="仿宋_GB2312"/>
          <w:szCs w:val="32"/>
        </w:rPr>
      </w:pPr>
      <w:r>
        <w:rPr>
          <w:rFonts w:hint="eastAsia" w:ascii="Times New Roman" w:hAnsi="Times New Roman" w:eastAsia="仿宋_GB2312"/>
          <w:szCs w:val="32"/>
        </w:rPr>
        <w:t>经济效益：促进经济发展。</w:t>
      </w:r>
    </w:p>
    <w:p>
      <w:pPr>
        <w:pStyle w:val="11"/>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生态效益：美化环境。</w:t>
      </w:r>
    </w:p>
    <w:p>
      <w:pPr>
        <w:pStyle w:val="11"/>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可持续影响：项目具有可持续利用性。</w:t>
      </w:r>
    </w:p>
    <w:p>
      <w:pPr>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rPr>
        <w:t>满意度：受益群众满意度≥96%</w:t>
      </w:r>
      <w:r>
        <w:rPr>
          <w:rFonts w:hint="eastAsia" w:ascii="仿宋_GB2312" w:hAnsi="仿宋_GB2312" w:eastAsia="仿宋_GB2312" w:cs="仿宋_GB2312"/>
          <w:szCs w:val="32"/>
        </w:rPr>
        <w:t>。</w:t>
      </w:r>
    </w:p>
    <w:p>
      <w:pPr>
        <w:pStyle w:val="6"/>
        <w:adjustRightInd w:val="0"/>
        <w:snapToGrid w:val="0"/>
        <w:spacing w:before="156" w:beforeLines="50"/>
        <w:ind w:firstLine="643"/>
      </w:pPr>
      <w:bookmarkStart w:id="48" w:name="_Toc27442"/>
      <w:bookmarkStart w:id="49" w:name="_Toc30988"/>
      <w:bookmarkStart w:id="50" w:name="_Toc11603"/>
      <w:r>
        <w:rPr>
          <w:rFonts w:hint="eastAsia"/>
        </w:rPr>
        <w:t>（四）项目组织及管理</w:t>
      </w:r>
      <w:bookmarkEnd w:id="48"/>
      <w:bookmarkEnd w:id="49"/>
      <w:bookmarkEnd w:id="50"/>
    </w:p>
    <w:p>
      <w:pPr>
        <w:ind w:firstLine="964" w:firstLineChars="300"/>
        <w:jc w:val="both"/>
        <w:rPr>
          <w:rFonts w:ascii="仿宋_GB2312" w:hAnsi="仿宋_GB2312" w:eastAsia="仿宋_GB2312" w:cs="仿宋_GB2312"/>
          <w:b/>
          <w:bCs/>
          <w:szCs w:val="32"/>
        </w:rPr>
      </w:pPr>
      <w:r>
        <w:rPr>
          <w:rFonts w:hint="eastAsia" w:ascii="仿宋_GB2312" w:hAnsi="仿宋_GB2312" w:eastAsia="仿宋_GB2312" w:cs="仿宋_GB2312"/>
          <w:b/>
          <w:bCs/>
          <w:szCs w:val="32"/>
        </w:rPr>
        <w:t>1.部门职责</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（1）财政部门</w:t>
      </w:r>
      <w:r>
        <w:rPr>
          <w:rFonts w:hint="eastAsia" w:ascii="仿宋_GB2312" w:hAnsi="仿宋_GB2312" w:eastAsia="仿宋_GB2312" w:cs="仿宋_GB2312"/>
          <w:szCs w:val="32"/>
          <w:lang w:val="zh-CN"/>
        </w:rPr>
        <w:t>：</w:t>
      </w:r>
      <w:r>
        <w:rPr>
          <w:rFonts w:hint="eastAsia" w:ascii="仿宋_GB2312" w:hAnsi="仿宋_GB2312" w:eastAsia="仿宋_GB2312" w:cs="仿宋_GB2312"/>
          <w:szCs w:val="32"/>
        </w:rPr>
        <w:t>永济市</w:t>
      </w:r>
      <w:r>
        <w:rPr>
          <w:rFonts w:hint="eastAsia" w:ascii="仿宋_GB2312" w:hAnsi="仿宋_GB2312" w:eastAsia="仿宋_GB2312" w:cs="仿宋_GB2312"/>
          <w:szCs w:val="32"/>
          <w:lang w:val="zh-CN"/>
        </w:rPr>
        <w:t>财政局。</w:t>
      </w:r>
      <w:r>
        <w:rPr>
          <w:rFonts w:hint="eastAsia" w:ascii="仿宋_GB2312" w:hAnsi="仿宋_GB2312" w:eastAsia="仿宋_GB2312" w:cs="仿宋_GB2312"/>
          <w:szCs w:val="32"/>
        </w:rPr>
        <w:t>负责审批、拨付预算资金，对专项资金的使用进行监管，组织开展绩效评价工作等。</w:t>
      </w:r>
    </w:p>
    <w:p>
      <w:pPr>
        <w:ind w:firstLine="640"/>
        <w:jc w:val="both"/>
        <w:rPr>
          <w:rFonts w:ascii="仿宋_GB2312" w:hAnsi="仿宋_GB2312" w:eastAsia="仿宋_GB2312" w:cs="仿宋_GB2312"/>
          <w:b/>
          <w:bCs/>
          <w:szCs w:val="32"/>
        </w:rPr>
      </w:pPr>
      <w:r>
        <w:rPr>
          <w:rFonts w:hint="eastAsia" w:ascii="仿宋_GB2312" w:hAnsi="仿宋_GB2312" w:eastAsia="仿宋_GB2312" w:cs="仿宋_GB2312"/>
          <w:szCs w:val="32"/>
          <w:lang w:val="zh-CN"/>
        </w:rPr>
        <w:t>（</w:t>
      </w:r>
      <w:r>
        <w:rPr>
          <w:rFonts w:hint="eastAsia" w:ascii="仿宋_GB2312" w:hAnsi="仿宋_GB2312" w:eastAsia="仿宋_GB2312" w:cs="仿宋_GB2312"/>
          <w:szCs w:val="32"/>
        </w:rPr>
        <w:t>2</w:t>
      </w:r>
      <w:r>
        <w:rPr>
          <w:rFonts w:hint="eastAsia" w:ascii="仿宋_GB2312" w:hAnsi="仿宋_GB2312" w:eastAsia="仿宋_GB2312" w:cs="仿宋_GB2312"/>
          <w:szCs w:val="32"/>
          <w:lang w:val="zh-CN"/>
        </w:rPr>
        <w:t>）实施单位：</w:t>
      </w:r>
      <w:r>
        <w:rPr>
          <w:rFonts w:hint="eastAsia" w:ascii="仿宋_GB2312" w:hAnsi="仿宋_GB2312" w:eastAsia="仿宋_GB2312" w:cs="仿宋_GB2312"/>
          <w:szCs w:val="32"/>
        </w:rPr>
        <w:t>永济市交通运输局</w:t>
      </w:r>
      <w:r>
        <w:rPr>
          <w:rFonts w:hint="eastAsia" w:ascii="仿宋_GB2312" w:hAnsi="仿宋_GB2312" w:eastAsia="仿宋_GB2312" w:cs="仿宋_GB2312"/>
          <w:szCs w:val="32"/>
          <w:lang w:val="zh-CN"/>
        </w:rPr>
        <w:t>。</w:t>
      </w:r>
      <w:r>
        <w:rPr>
          <w:rFonts w:hint="eastAsia" w:ascii="仿宋_GB2312" w:hAnsi="仿宋_GB2312" w:eastAsia="仿宋_GB2312" w:cs="仿宋_GB2312"/>
          <w:szCs w:val="32"/>
        </w:rPr>
        <w:t>根据财政拨付的资金，按规定用途使用资金，</w:t>
      </w:r>
      <w:r>
        <w:rPr>
          <w:rFonts w:hint="eastAsia" w:ascii="仿宋_GB2312" w:hAnsi="仿宋_GB2312" w:eastAsia="仿宋_GB2312" w:cs="仿宋_GB2312"/>
          <w:kern w:val="28"/>
          <w:szCs w:val="32"/>
        </w:rPr>
        <w:t>负责组织项目的申报和审查，对项目实施进行监督检查，开展项目的绩效评价等工作</w:t>
      </w:r>
      <w:r>
        <w:rPr>
          <w:rFonts w:hint="eastAsia" w:ascii="仿宋_GB2312" w:hAnsi="仿宋_GB2312" w:eastAsia="仿宋_GB2312" w:cs="仿宋_GB2312"/>
          <w:szCs w:val="32"/>
        </w:rPr>
        <w:t>。</w:t>
      </w:r>
    </w:p>
    <w:p>
      <w:pPr>
        <w:ind w:firstLine="964" w:firstLineChars="300"/>
        <w:jc w:val="both"/>
      </w:pPr>
      <w:bookmarkStart w:id="51" w:name="_Toc2820"/>
      <w:r>
        <w:rPr>
          <w:rFonts w:hint="eastAsia" w:ascii="仿宋_GB2312" w:hAnsi="仿宋_GB2312" w:eastAsia="仿宋_GB2312" w:cs="仿宋_GB2312"/>
          <w:b/>
          <w:bCs/>
          <w:szCs w:val="32"/>
        </w:rPr>
        <w:t>2.</w:t>
      </w:r>
      <w:bookmarkEnd w:id="51"/>
      <w:r>
        <w:rPr>
          <w:rFonts w:hint="eastAsia" w:ascii="仿宋_GB2312" w:hAnsi="仿宋_GB2312" w:eastAsia="仿宋_GB2312" w:cs="仿宋_GB2312"/>
          <w:b/>
          <w:bCs/>
          <w:szCs w:val="32"/>
        </w:rPr>
        <w:t>保障制度</w:t>
      </w:r>
      <w:bookmarkStart w:id="52" w:name="_Toc824"/>
      <w:bookmarkStart w:id="53" w:name="_Toc25951"/>
      <w:bookmarkStart w:id="54" w:name="_Toc14211"/>
    </w:p>
    <w:p>
      <w:pPr>
        <w:ind w:firstLine="640"/>
        <w:rPr>
          <w:rFonts w:eastAsia="仿宋_GB2312"/>
        </w:rPr>
      </w:pPr>
      <w:r>
        <w:rPr>
          <w:rFonts w:hint="eastAsia" w:ascii="仿宋_GB2312" w:hAnsi="仿宋_GB2312" w:eastAsia="仿宋_GB2312" w:cs="仿宋_GB2312"/>
          <w:szCs w:val="32"/>
        </w:rPr>
        <w:t>（1）</w:t>
      </w:r>
      <w:r>
        <w:rPr>
          <w:rFonts w:ascii="Times New Roman" w:hAnsi="Times New Roman" w:eastAsia="仿宋_GB2312"/>
          <w:szCs w:val="32"/>
        </w:rPr>
        <w:t>招投标制。项目招标委托</w:t>
      </w:r>
      <w:r>
        <w:rPr>
          <w:rFonts w:hint="eastAsia" w:ascii="Times New Roman" w:hAnsi="Times New Roman" w:eastAsia="仿宋_GB2312"/>
          <w:szCs w:val="32"/>
        </w:rPr>
        <w:t>有资质的招标代理公司</w:t>
      </w:r>
      <w:r>
        <w:rPr>
          <w:rFonts w:ascii="Times New Roman" w:hAnsi="Times New Roman" w:eastAsia="仿宋_GB2312"/>
          <w:szCs w:val="32"/>
        </w:rPr>
        <w:t>进行公开招标。本项目</w:t>
      </w:r>
      <w:r>
        <w:rPr>
          <w:rFonts w:hint="eastAsia" w:ascii="Times New Roman" w:hAnsi="Times New Roman" w:eastAsia="仿宋_GB2312"/>
          <w:szCs w:val="32"/>
        </w:rPr>
        <w:t>采用公开招投标方式进行采购，投标单位均超过</w:t>
      </w:r>
      <w:r>
        <w:rPr>
          <w:rFonts w:hint="eastAsia" w:ascii="Times New Roman" w:hAnsi="Times New Roman" w:eastAsia="仿宋_GB2312"/>
          <w:szCs w:val="32"/>
          <w:lang w:eastAsia="zh-CN"/>
        </w:rPr>
        <w:t>《</w:t>
      </w:r>
      <w:r>
        <w:rPr>
          <w:rFonts w:hint="eastAsia" w:ascii="Times New Roman" w:hAnsi="Times New Roman" w:eastAsia="仿宋_GB2312"/>
          <w:szCs w:val="32"/>
          <w:lang w:val="en-US" w:eastAsia="zh-CN"/>
        </w:rPr>
        <w:t>中华人民共和国招标投标法</w:t>
      </w:r>
      <w:r>
        <w:rPr>
          <w:rFonts w:hint="eastAsia" w:ascii="Times New Roman" w:hAnsi="Times New Roman" w:eastAsia="仿宋_GB2312"/>
          <w:szCs w:val="32"/>
          <w:lang w:eastAsia="zh-CN"/>
        </w:rPr>
        <w:t>》</w:t>
      </w:r>
      <w:r>
        <w:rPr>
          <w:rFonts w:hint="eastAsia" w:ascii="Times New Roman" w:hAnsi="Times New Roman" w:eastAsia="仿宋_GB2312"/>
          <w:szCs w:val="32"/>
        </w:rPr>
        <w:t>规定的三家或三家以上投标单位，均对招标结果进行公示。</w:t>
      </w:r>
      <w:r>
        <w:rPr>
          <w:rFonts w:ascii="Times New Roman" w:hAnsi="Times New Roman" w:eastAsia="仿宋_GB2312"/>
          <w:szCs w:val="32"/>
        </w:rPr>
        <w:t>整个项目的招标、投标、评标符合</w:t>
      </w:r>
      <w:r>
        <w:rPr>
          <w:rFonts w:hint="eastAsia" w:ascii="Times New Roman" w:hAnsi="Times New Roman" w:eastAsia="仿宋_GB2312"/>
          <w:szCs w:val="32"/>
          <w:lang w:eastAsia="zh-CN"/>
        </w:rPr>
        <w:t>《</w:t>
      </w:r>
      <w:r>
        <w:rPr>
          <w:rFonts w:hint="eastAsia" w:ascii="Times New Roman" w:hAnsi="Times New Roman" w:eastAsia="仿宋_GB2312"/>
          <w:szCs w:val="32"/>
          <w:lang w:val="en-US" w:eastAsia="zh-CN"/>
        </w:rPr>
        <w:t>中华人民共和国招标投标法</w:t>
      </w:r>
      <w:r>
        <w:rPr>
          <w:rFonts w:hint="eastAsia" w:ascii="Times New Roman" w:hAnsi="Times New Roman" w:eastAsia="仿宋_GB2312"/>
          <w:szCs w:val="32"/>
          <w:lang w:eastAsia="zh-CN"/>
        </w:rPr>
        <w:t>》</w:t>
      </w:r>
      <w:r>
        <w:rPr>
          <w:rFonts w:ascii="Times New Roman" w:hAnsi="Times New Roman" w:eastAsia="仿宋_GB2312"/>
          <w:szCs w:val="32"/>
        </w:rPr>
        <w:t>的规定</w:t>
      </w:r>
      <w:r>
        <w:rPr>
          <w:rFonts w:hint="eastAsia" w:ascii="Times New Roman" w:hAnsi="Times New Roman" w:eastAsia="仿宋_GB2312"/>
          <w:szCs w:val="32"/>
        </w:rPr>
        <w:t>。</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（2）</w:t>
      </w:r>
      <w:r>
        <w:rPr>
          <w:rFonts w:hint="eastAsia" w:ascii="Times New Roman" w:hAnsi="Times New Roman" w:eastAsia="仿宋_GB2312"/>
          <w:szCs w:val="32"/>
        </w:rPr>
        <w:t>监理制。项目聘请监理公司。编制监理大纲、监理细则、监理日志、分部分项工程验收记录等。</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（3）</w:t>
      </w:r>
      <w:r>
        <w:rPr>
          <w:rFonts w:hint="eastAsia" w:ascii="仿宋_GB2312" w:hAnsi="仿宋_GB2312" w:eastAsia="仿宋_GB2312" w:cs="仿宋_GB2312"/>
          <w:kern w:val="28"/>
          <w:szCs w:val="32"/>
          <w:lang w:val="zh-CN"/>
        </w:rPr>
        <w:t>项目管理实行合同制，项目单位按照《</w:t>
      </w:r>
      <w:r>
        <w:rPr>
          <w:rFonts w:hint="eastAsia" w:ascii="仿宋_GB2312" w:hAnsi="仿宋_GB2312" w:eastAsia="仿宋_GB2312" w:cs="仿宋_GB2312"/>
          <w:kern w:val="28"/>
          <w:szCs w:val="32"/>
          <w:lang w:val="en-US" w:eastAsia="zh-CN"/>
        </w:rPr>
        <w:t>中华人民共和国</w:t>
      </w:r>
      <w:r>
        <w:rPr>
          <w:rFonts w:hint="eastAsia" w:ascii="仿宋_GB2312" w:hAnsi="仿宋_GB2312" w:eastAsia="仿宋_GB2312" w:cs="仿宋_GB2312"/>
          <w:kern w:val="28"/>
          <w:szCs w:val="32"/>
          <w:lang w:val="zh-CN"/>
        </w:rPr>
        <w:t>民法典</w:t>
      </w:r>
      <w:bookmarkStart w:id="212" w:name="_GoBack"/>
      <w:bookmarkEnd w:id="212"/>
      <w:r>
        <w:rPr>
          <w:rFonts w:hint="eastAsia" w:ascii="仿宋_GB2312" w:hAnsi="仿宋_GB2312" w:eastAsia="仿宋_GB2312" w:cs="仿宋_GB2312"/>
          <w:kern w:val="28"/>
          <w:szCs w:val="32"/>
          <w:lang w:val="zh-CN"/>
        </w:rPr>
        <w:t>》的有关规定同参与项目服务的单位均签订了合同</w:t>
      </w:r>
      <w:r>
        <w:rPr>
          <w:rFonts w:ascii="仿宋" w:hAnsi="仿宋" w:cs="仿宋"/>
          <w:sz w:val="28"/>
          <w:szCs w:val="28"/>
        </w:rPr>
        <w:t>。</w:t>
      </w:r>
    </w:p>
    <w:p>
      <w:pPr>
        <w:pStyle w:val="6"/>
        <w:ind w:firstLine="643"/>
      </w:pPr>
      <w:bookmarkStart w:id="55" w:name="_Toc21157"/>
      <w:r>
        <w:rPr>
          <w:rFonts w:hint="eastAsia"/>
        </w:rPr>
        <w:t>（五）利益相关方</w:t>
      </w:r>
      <w:bookmarkEnd w:id="52"/>
      <w:bookmarkEnd w:id="53"/>
      <w:bookmarkEnd w:id="54"/>
      <w:bookmarkEnd w:id="55"/>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本次绩效评价涉及的利益相关方包括：</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1.资金拨付部门：永济市财政局；</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2.实施单位：永济市交通运输局；</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w:t>
      </w:r>
      <w:r>
        <w:rPr>
          <w:rFonts w:hint="eastAsia" w:ascii="仿宋_GB2312" w:hAnsi="仿宋_GB2312" w:eastAsia="仿宋_GB2312" w:cs="仿宋_GB2312"/>
          <w:kern w:val="28"/>
          <w:szCs w:val="32"/>
        </w:rPr>
        <w:t>项目设计勘察单位：中铁三局集团有限公司</w:t>
      </w:r>
      <w:r>
        <w:rPr>
          <w:rFonts w:hint="eastAsia" w:ascii="仿宋_GB2312" w:hAnsi="仿宋_GB2312" w:eastAsia="仿宋_GB2312" w:cs="仿宋_GB2312"/>
          <w:szCs w:val="32"/>
        </w:rPr>
        <w:t>；</w:t>
      </w:r>
    </w:p>
    <w:p>
      <w:pPr>
        <w:ind w:firstLine="640"/>
        <w:jc w:val="both"/>
        <w:rPr>
          <w:rFonts w:ascii="仿宋_GB2312" w:hAnsi="仿宋_GB2312" w:eastAsia="仿宋_GB2312" w:cs="仿宋_GB2312"/>
          <w:kern w:val="28"/>
          <w:szCs w:val="32"/>
        </w:rPr>
      </w:pPr>
      <w:r>
        <w:rPr>
          <w:rFonts w:hint="eastAsia" w:ascii="仿宋_GB2312" w:hAnsi="仿宋_GB2312" w:eastAsia="仿宋_GB2312" w:cs="仿宋_GB2312"/>
          <w:szCs w:val="32"/>
        </w:rPr>
        <w:t>4.</w:t>
      </w:r>
      <w:r>
        <w:rPr>
          <w:rFonts w:hint="eastAsia" w:ascii="仿宋_GB2312" w:hAnsi="仿宋_GB2312" w:eastAsia="仿宋_GB2312" w:cs="仿宋_GB2312"/>
          <w:kern w:val="28"/>
          <w:szCs w:val="32"/>
        </w:rPr>
        <w:t>项目施工单位：山西鹏翼路桥有限公司、山西宝路通路桥工程有限公司等；</w:t>
      </w:r>
    </w:p>
    <w:p>
      <w:pPr>
        <w:ind w:firstLine="640"/>
        <w:jc w:val="both"/>
        <w:rPr>
          <w:rFonts w:ascii="仿宋_GB2312" w:hAnsi="仿宋_GB2312" w:eastAsia="仿宋_GB2312" w:cs="仿宋_GB2312"/>
          <w:kern w:val="28"/>
          <w:szCs w:val="32"/>
        </w:rPr>
      </w:pPr>
      <w:r>
        <w:rPr>
          <w:rFonts w:hint="eastAsia" w:ascii="仿宋_GB2312" w:hAnsi="仿宋_GB2312" w:eastAsia="仿宋_GB2312" w:cs="仿宋_GB2312"/>
          <w:kern w:val="28"/>
          <w:szCs w:val="32"/>
        </w:rPr>
        <w:t>5.项目监理单位：山西正达通畅建设工程监理有限公司；</w:t>
      </w:r>
    </w:p>
    <w:p>
      <w:pPr>
        <w:ind w:firstLine="640"/>
        <w:jc w:val="both"/>
        <w:rPr>
          <w:rFonts w:ascii="仿宋_GB2312" w:hAnsi="仿宋_GB2312" w:eastAsia="仿宋_GB2312" w:cs="仿宋_GB2312"/>
          <w:kern w:val="28"/>
          <w:szCs w:val="32"/>
          <w:lang w:val="zh-CN"/>
        </w:rPr>
      </w:pPr>
      <w:r>
        <w:rPr>
          <w:rFonts w:hint="eastAsia" w:ascii="仿宋_GB2312" w:hAnsi="仿宋_GB2312" w:eastAsia="仿宋_GB2312" w:cs="仿宋_GB2312"/>
          <w:kern w:val="28"/>
          <w:szCs w:val="32"/>
        </w:rPr>
        <w:t>6.</w:t>
      </w:r>
      <w:r>
        <w:rPr>
          <w:rFonts w:hint="eastAsia" w:ascii="仿宋_GB2312" w:hAnsi="仿宋_GB2312" w:eastAsia="仿宋_GB2312" w:cs="仿宋_GB2312"/>
          <w:kern w:val="28"/>
          <w:szCs w:val="32"/>
          <w:lang w:val="zh-CN"/>
        </w:rPr>
        <w:t>受益对象：广大人民群众；</w:t>
      </w:r>
    </w:p>
    <w:p>
      <w:pPr>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lang w:val="zh-CN"/>
        </w:rPr>
        <w:t>7.其他利益相关方等</w:t>
      </w:r>
      <w:r>
        <w:rPr>
          <w:rFonts w:hint="eastAsia" w:ascii="仿宋_GB2312" w:hAnsi="仿宋_GB2312" w:eastAsia="仿宋_GB2312" w:cs="仿宋_GB2312"/>
          <w:szCs w:val="32"/>
        </w:rPr>
        <w:t>。</w:t>
      </w:r>
    </w:p>
    <w:p>
      <w:pPr>
        <w:pStyle w:val="5"/>
        <w:ind w:firstLine="640"/>
        <w:rPr>
          <w:b w:val="0"/>
          <w:bCs/>
        </w:rPr>
      </w:pPr>
      <w:bookmarkStart w:id="56" w:name="_Toc13826"/>
      <w:r>
        <w:rPr>
          <w:rFonts w:hint="eastAsia"/>
          <w:b w:val="0"/>
          <w:bCs/>
        </w:rPr>
        <w:t>二、</w:t>
      </w:r>
      <w:bookmarkEnd w:id="43"/>
      <w:bookmarkEnd w:id="44"/>
      <w:bookmarkEnd w:id="45"/>
      <w:bookmarkEnd w:id="46"/>
      <w:bookmarkEnd w:id="47"/>
      <w:r>
        <w:rPr>
          <w:rFonts w:hint="eastAsia"/>
          <w:b w:val="0"/>
          <w:bCs/>
        </w:rPr>
        <w:t>绩效评价工作情况</w:t>
      </w:r>
      <w:bookmarkEnd w:id="56"/>
    </w:p>
    <w:p>
      <w:pPr>
        <w:pStyle w:val="6"/>
        <w:ind w:firstLine="643"/>
      </w:pPr>
      <w:bookmarkStart w:id="57" w:name="_Toc293"/>
      <w:bookmarkStart w:id="58" w:name="_Toc31989"/>
      <w:r>
        <w:rPr>
          <w:rFonts w:hint="eastAsia"/>
        </w:rPr>
        <w:t>（一）绩效评价目的、对象及范围</w:t>
      </w:r>
      <w:bookmarkEnd w:id="57"/>
    </w:p>
    <w:p>
      <w:pPr>
        <w:ind w:firstLine="964" w:firstLineChars="300"/>
        <w:jc w:val="both"/>
        <w:rPr>
          <w:rFonts w:ascii="仿宋_GB2312" w:hAnsi="仿宋_GB2312" w:eastAsia="仿宋_GB2312" w:cs="仿宋_GB2312"/>
          <w:b/>
          <w:bCs/>
          <w:szCs w:val="32"/>
        </w:rPr>
      </w:pPr>
      <w:r>
        <w:rPr>
          <w:rFonts w:hint="eastAsia" w:ascii="仿宋_GB2312" w:hAnsi="仿宋_GB2312" w:eastAsia="仿宋_GB2312" w:cs="仿宋_GB2312"/>
          <w:b/>
          <w:bCs/>
          <w:szCs w:val="32"/>
        </w:rPr>
        <w:t>1.绩效评价目的</w:t>
      </w:r>
    </w:p>
    <w:p>
      <w:pPr>
        <w:ind w:firstLine="640"/>
        <w:jc w:val="both"/>
        <w:rPr>
          <w:rFonts w:ascii="仿宋_GB2312" w:hAnsi="仿宋_GB2312" w:eastAsia="仿宋_GB2312" w:cs="仿宋_GB2312"/>
          <w:szCs w:val="32"/>
        </w:rPr>
      </w:pPr>
      <w:bookmarkStart w:id="59" w:name="_Toc10139"/>
      <w:bookmarkStart w:id="60" w:name="_Toc32059"/>
      <w:bookmarkStart w:id="61" w:name="_Toc27706"/>
      <w:bookmarkStart w:id="62" w:name="_Toc3736"/>
      <w:bookmarkStart w:id="63" w:name="_Toc19176"/>
      <w:bookmarkStart w:id="64" w:name="_Toc17933"/>
      <w:bookmarkStart w:id="65" w:name="_Toc7387"/>
      <w:r>
        <w:rPr>
          <w:rFonts w:hint="eastAsia" w:ascii="仿宋_GB2312" w:hAnsi="仿宋_GB2312" w:eastAsia="仿宋_GB2312" w:cs="仿宋_GB2312"/>
          <w:szCs w:val="32"/>
        </w:rPr>
        <w:t>评价组通过查阅账簿、访谈、实地调研、调查问卷、走访等形式，收集项目立项、资金管理和使用、项目实施等资料，考察项目立项是否规范，资金使用是否合规，项目管理制度是否健全以及制度的执行有效情况，分析项目是否达到预期产出和效益，综合衡量预算资金的绩效情况，及时发现该项目存在的问题，总结经验，提出改进意见和建议，进一步提高专项资金的使用效率。</w:t>
      </w:r>
    </w:p>
    <w:p>
      <w:pPr>
        <w:ind w:firstLine="964" w:firstLineChars="300"/>
        <w:jc w:val="both"/>
        <w:rPr>
          <w:rFonts w:ascii="仿宋_GB2312" w:hAnsi="仿宋_GB2312" w:eastAsia="仿宋_GB2312" w:cs="仿宋_GB2312"/>
          <w:b/>
          <w:bCs/>
          <w:szCs w:val="32"/>
        </w:rPr>
      </w:pPr>
      <w:r>
        <w:rPr>
          <w:rFonts w:hint="eastAsia" w:ascii="仿宋_GB2312" w:hAnsi="仿宋_GB2312" w:eastAsia="仿宋_GB2312" w:cs="仿宋_GB2312"/>
          <w:b/>
          <w:bCs/>
          <w:szCs w:val="32"/>
        </w:rPr>
        <w:t>2.绩效评价对象</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本次绩效评价对象为</w:t>
      </w:r>
      <w:r>
        <w:rPr>
          <w:rFonts w:hint="eastAsia" w:ascii="仿宋_GB2312" w:hAnsi="仿宋_GB2312" w:eastAsia="仿宋_GB2312" w:cs="仿宋_GB2312"/>
          <w:kern w:val="28"/>
          <w:szCs w:val="32"/>
        </w:rPr>
        <w:t>永济沿黄旅游公路改建工程</w:t>
      </w:r>
      <w:r>
        <w:rPr>
          <w:rFonts w:hint="eastAsia" w:ascii="仿宋_GB2312" w:hAnsi="仿宋_GB2312" w:eastAsia="仿宋_GB2312" w:cs="仿宋_GB2312"/>
          <w:szCs w:val="32"/>
        </w:rPr>
        <w:t>项目</w:t>
      </w:r>
      <w:r>
        <w:rPr>
          <w:rFonts w:hint="eastAsia" w:ascii="仿宋_GB2312" w:hAnsi="仿宋_GB2312" w:eastAsia="仿宋_GB2312" w:cs="仿宋_GB2312"/>
          <w:kern w:val="28"/>
          <w:szCs w:val="32"/>
        </w:rPr>
        <w:t>二三期</w:t>
      </w:r>
      <w:r>
        <w:rPr>
          <w:rFonts w:hint="eastAsia" w:ascii="仿宋_GB2312" w:hAnsi="仿宋_GB2312" w:eastAsia="仿宋_GB2312" w:cs="仿宋_GB2312"/>
          <w:szCs w:val="32"/>
        </w:rPr>
        <w:t>，项目支出财政资金</w:t>
      </w:r>
      <w:r>
        <w:rPr>
          <w:rFonts w:hint="eastAsia" w:ascii="仿宋_GB2312" w:hAnsi="仿宋_GB2312" w:eastAsia="仿宋_GB2312" w:cs="仿宋_GB2312"/>
          <w:kern w:val="28"/>
          <w:szCs w:val="32"/>
        </w:rPr>
        <w:t>11682.056426</w:t>
      </w:r>
      <w:r>
        <w:rPr>
          <w:rFonts w:hint="eastAsia" w:ascii="仿宋_GB2312" w:hAnsi="仿宋_GB2312" w:eastAsia="仿宋_GB2312" w:cs="仿宋_GB2312"/>
          <w:szCs w:val="32"/>
        </w:rPr>
        <w:t>万元。</w:t>
      </w:r>
    </w:p>
    <w:p>
      <w:pPr>
        <w:ind w:firstLine="964" w:firstLineChars="300"/>
        <w:jc w:val="both"/>
        <w:rPr>
          <w:rFonts w:ascii="仿宋_GB2312" w:hAnsi="仿宋_GB2312" w:eastAsia="仿宋_GB2312" w:cs="仿宋_GB2312"/>
          <w:b/>
          <w:bCs/>
          <w:szCs w:val="32"/>
        </w:rPr>
      </w:pPr>
      <w:r>
        <w:rPr>
          <w:rFonts w:hint="eastAsia" w:ascii="仿宋_GB2312" w:hAnsi="仿宋_GB2312" w:eastAsia="仿宋_GB2312" w:cs="仿宋_GB2312"/>
          <w:b/>
          <w:bCs/>
          <w:szCs w:val="32"/>
        </w:rPr>
        <w:t>3.绩效评价范围</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本次绩效评价范围为</w:t>
      </w:r>
      <w:r>
        <w:rPr>
          <w:rFonts w:hint="eastAsia" w:ascii="仿宋_GB2312" w:hAnsi="仿宋_GB2312" w:eastAsia="仿宋_GB2312" w:cs="仿宋_GB2312"/>
          <w:kern w:val="28"/>
          <w:szCs w:val="32"/>
        </w:rPr>
        <w:t>永济沿黄旅游公路改建工程项目二三期</w:t>
      </w:r>
      <w:r>
        <w:rPr>
          <w:rFonts w:hint="eastAsia" w:ascii="仿宋_GB2312" w:hAnsi="仿宋_GB2312" w:eastAsia="仿宋_GB2312" w:cs="仿宋_GB2312"/>
          <w:szCs w:val="32"/>
        </w:rPr>
        <w:t>产生的绩效以及为产生绩效所经历的各环节过程，具体绩效评价范围包括决策、过程、产出、效益。</w:t>
      </w:r>
    </w:p>
    <w:bookmarkEnd w:id="58"/>
    <w:bookmarkEnd w:id="59"/>
    <w:bookmarkEnd w:id="60"/>
    <w:bookmarkEnd w:id="61"/>
    <w:bookmarkEnd w:id="62"/>
    <w:bookmarkEnd w:id="63"/>
    <w:bookmarkEnd w:id="64"/>
    <w:bookmarkEnd w:id="65"/>
    <w:p>
      <w:pPr>
        <w:pStyle w:val="6"/>
        <w:ind w:firstLine="643"/>
      </w:pPr>
      <w:bookmarkStart w:id="66" w:name="_Toc12926"/>
      <w:r>
        <w:rPr>
          <w:rFonts w:hint="eastAsia"/>
        </w:rPr>
        <w:t>（二）绩效评价原则及方法</w:t>
      </w:r>
      <w:bookmarkEnd w:id="66"/>
    </w:p>
    <w:p>
      <w:pPr>
        <w:ind w:firstLine="964" w:firstLineChars="300"/>
        <w:jc w:val="both"/>
        <w:rPr>
          <w:rFonts w:ascii="仿宋_GB2312" w:hAnsi="仿宋_GB2312" w:eastAsia="仿宋_GB2312" w:cs="仿宋_GB2312"/>
          <w:b/>
          <w:bCs/>
          <w:szCs w:val="32"/>
        </w:rPr>
      </w:pPr>
      <w:r>
        <w:rPr>
          <w:rFonts w:hint="eastAsia" w:ascii="仿宋_GB2312" w:hAnsi="仿宋_GB2312" w:eastAsia="仿宋_GB2312" w:cs="仿宋_GB2312"/>
          <w:b/>
          <w:bCs/>
          <w:szCs w:val="32"/>
        </w:rPr>
        <w:t>1.绩效评价原则</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（1）独立原则。评价机构在委托方和被评价对象提供工作便利条件和相关资料情况下独立完成委托事项。</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（2）客观原则。按照协议（合同）约定事项客观公正、实事求是地开展预算绩效评价，不预设立场，通过实地查证取得的佐证资料，对照评价工作方案设置考核标准，确保绩效评价报告真实、有效。</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（3）规范原则。严格按照要求和评价方案规定的程序，根据项目的重要性，在项目中合理选取样本，对原始资料进行必要的核查验证，形成结论并出具预算绩效评价报告。</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2.绩效评价方法</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评价主要运用因素分析法、公众评判法等方法，本着科学价值导向、客观公正、综合分析、受益对象满意、绩效相关评价原则，按照决策、过程、产出和效益的绩效逻辑路径，结合本项目实施情况，根据设定的评价指标检验项目资金的产出和效果。</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因素分析法：针对本项目，评价组首先梳理项目评价点和影响因素。本次评价项目影响因素主要包括：项目实施的各项制度、项目实施的过程管理、资金拨付的过程管理等。据以上因素，设置指标体系，综合全面的开展绩效评价工作。</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（2）公众评判法：对本次评价中无法进行量化的指标，采取调查问卷和实地访谈的方式进行。针对本项目，评价组为考察项目实施的效益，抽取项目受益对象，开展满意度调查。</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预定目标与实施效果的比较法：通过对项目产生的实际经济效益、社会效益与预期目标进行分析对比和定性分析、定量分析，分析哪些预期目标已经完成（包含全部完成和部分完成），哪些没有完成，从而评价财政支出绩效。</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（4）现场核查法。现场评价小组与项目实施的相关单位，包括主管单位、实施单位等进行深入沟通交流，实事求是核查其 财务情况、项目管理情况和绩效表现等相关资料，对项目进行核实。</w:t>
      </w:r>
    </w:p>
    <w:p>
      <w:pPr>
        <w:pStyle w:val="6"/>
        <w:ind w:firstLine="643"/>
      </w:pPr>
      <w:bookmarkStart w:id="67" w:name="_Toc20187"/>
      <w:r>
        <w:rPr>
          <w:rFonts w:hint="eastAsia"/>
        </w:rPr>
        <w:t>（三）绩效评价基准日</w:t>
      </w:r>
      <w:bookmarkEnd w:id="67"/>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此次绩效评价的基准日为2021年12月31日。</w:t>
      </w:r>
    </w:p>
    <w:p>
      <w:pPr>
        <w:ind w:firstLine="640"/>
        <w:jc w:val="both"/>
      </w:pPr>
      <w:r>
        <w:rPr>
          <w:rFonts w:hint="eastAsia" w:ascii="仿宋_GB2312" w:hAnsi="仿宋_GB2312" w:eastAsia="仿宋_GB2312" w:cs="仿宋_GB2312"/>
          <w:szCs w:val="32"/>
        </w:rPr>
        <w:t>绩效评价基准日是在与委托单位、项目主管单位、项目实施单位协商后确定的，对评价结果无特别影响因素，符合常规情况。</w:t>
      </w:r>
    </w:p>
    <w:p>
      <w:pPr>
        <w:pStyle w:val="6"/>
        <w:ind w:firstLine="643"/>
      </w:pPr>
      <w:bookmarkStart w:id="68" w:name="_Toc28281"/>
      <w:r>
        <w:rPr>
          <w:rFonts w:hint="eastAsia"/>
        </w:rPr>
        <w:t>（四）绩效评价依据</w:t>
      </w:r>
      <w:bookmarkEnd w:id="68"/>
    </w:p>
    <w:p>
      <w:pPr>
        <w:ind w:firstLine="640"/>
        <w:jc w:val="both"/>
        <w:rPr>
          <w:rFonts w:ascii="仿宋_GB2312" w:hAnsi="仿宋_GB2312" w:eastAsia="仿宋_GB2312" w:cs="仿宋_GB2312"/>
          <w:szCs w:val="32"/>
        </w:rPr>
      </w:pPr>
      <w:bookmarkStart w:id="69" w:name="_Toc509"/>
      <w:r>
        <w:rPr>
          <w:rFonts w:hint="eastAsia" w:ascii="仿宋_GB2312" w:hAnsi="仿宋_GB2312" w:eastAsia="仿宋_GB2312" w:cs="仿宋_GB2312"/>
          <w:szCs w:val="32"/>
        </w:rPr>
        <w:t>（1）《中华人民共和国预算法》（2018年修订）；</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（2）《中华人民共和国预算法实施条例》（2020年8月3日中华人民共和国国务院令第729号修订）；</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（3）《中共中央 国务院关于全面实施预算绩效管理的意见》（中发〔2018〕34号）；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（4）《关于进一步深化预算管理制度改革的意见》（国发〔2021〕5号）；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（5）《全国人民代表大会常务委员会关于加强中央预算审查监督的决定》（2021年4月29日第十三届全国人民代表大会常务委员会第二十八次会议修订）；</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（6）财政部《关于贯彻落实&lt;中共中央 国务院关于全面实施预算绩效管理的意见&gt;的通知》（财预〔2018〕167号）；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（7）《中央部门预算绩效目标管理办法》（财预〔2015〕88号）；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（8）《中央部门项目支出核心绩效目标和指标设置及取值指引（试行）》（财预〔2021〕101号）；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（9）《财政部关于印发&lt;项目支出绩效评价管理办法&gt;的通知》（财预〔2020〕10号）；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（10）《财政部关于委托第三方机构参与预算绩效管理的指导意见》（财预〔2021〕6号）；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（11）《财政部第三方机构预算绩效评价业务监督管理暂行办法》（财监〔2021〕4号）；</w:t>
      </w:r>
    </w:p>
    <w:p>
      <w:pPr>
        <w:pStyle w:val="2"/>
        <w:ind w:left="0" w:leftChars="0" w:firstLine="0" w:firstLineChars="0"/>
        <w:rPr>
          <w:rFonts w:eastAsia="仿宋_GB2312"/>
        </w:rPr>
      </w:pPr>
      <w:r>
        <w:rPr>
          <w:rFonts w:hint="eastAsia" w:ascii="仿宋_GB2312" w:hAnsi="仿宋_GB2312" w:eastAsia="仿宋_GB2312" w:cs="仿宋_GB2312"/>
          <w:szCs w:val="32"/>
        </w:rPr>
        <w:t xml:space="preserve">    （12）《山西省财政厅关于印发&lt;财政专项资金监管办法&gt;的通知》（晋财省直预〔2021〕9号）；</w:t>
      </w:r>
    </w:p>
    <w:p>
      <w:pPr>
        <w:pStyle w:val="19"/>
        <w:ind w:left="0" w:leftChars="0" w:firstLine="640"/>
        <w:jc w:val="left"/>
        <w:rPr>
          <w:rFonts w:eastAsia="仿宋_GB2312"/>
        </w:rPr>
      </w:pPr>
      <w:r>
        <w:rPr>
          <w:rFonts w:hint="eastAsia" w:ascii="仿宋_GB2312" w:hAnsi="仿宋_GB2312" w:eastAsia="仿宋_GB2312" w:cs="仿宋_GB2312"/>
          <w:szCs w:val="32"/>
        </w:rPr>
        <w:t>（13）</w:t>
      </w:r>
      <w:r>
        <w:rPr>
          <w:rFonts w:hint="eastAsia" w:ascii="仿宋_GB2312" w:hAnsi="仿宋_GB2312" w:eastAsia="仿宋_GB2312" w:cs="仿宋_GB2312"/>
          <w:kern w:val="28"/>
          <w:szCs w:val="32"/>
        </w:rPr>
        <w:t>《永济市财政局2022年重点绩效评价实施方案》（永财字〔2022〕37号）</w:t>
      </w:r>
      <w:r>
        <w:rPr>
          <w:rFonts w:hint="eastAsia" w:ascii="仿宋_GB2312" w:hAnsi="仿宋_GB2312" w:eastAsia="仿宋_GB2312" w:cs="仿宋_GB2312"/>
          <w:szCs w:val="32"/>
        </w:rPr>
        <w:t>；</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（14）其他有关的法律、法规规章、政策文件。</w:t>
      </w:r>
    </w:p>
    <w:bookmarkEnd w:id="69"/>
    <w:p>
      <w:pPr>
        <w:pStyle w:val="6"/>
        <w:adjustRightInd w:val="0"/>
        <w:snapToGrid w:val="0"/>
        <w:spacing w:before="156" w:beforeLines="50"/>
        <w:ind w:firstLine="643"/>
      </w:pPr>
      <w:bookmarkStart w:id="70" w:name="_Toc24493"/>
      <w:bookmarkStart w:id="71" w:name="_Toc17781"/>
      <w:r>
        <w:rPr>
          <w:rFonts w:hint="eastAsia"/>
        </w:rPr>
        <w:t>（五）绩效评价指标体系及评价标准</w:t>
      </w:r>
      <w:bookmarkEnd w:id="70"/>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评价小组</w:t>
      </w:r>
      <w:r>
        <w:rPr>
          <w:rFonts w:hint="eastAsia" w:ascii="仿宋_GB2312" w:hAnsi="仿宋_GB2312" w:eastAsia="仿宋_GB2312" w:cs="仿宋_GB2312"/>
          <w:kern w:val="28"/>
          <w:szCs w:val="32"/>
        </w:rPr>
        <w:t>结合永济沿黄旅游公路改建工程二三期绩效目标，按照永济市财政局《2022年重点绩效评价实施方案》</w:t>
      </w:r>
      <w:r>
        <w:rPr>
          <w:rFonts w:hint="eastAsia" w:ascii="仿宋_GB2312" w:hAnsi="仿宋_GB2312" w:eastAsia="仿宋_GB2312" w:cs="仿宋_GB2312"/>
          <w:szCs w:val="32"/>
        </w:rPr>
        <w:t>等文件要求，按照“决策-过程-产出-效益”的逻辑思路对绩效目标进行分解，参考匹配性与适用性原则，结合计划标准等制定指标的目标值，形成本项目绩效评价指标体系。</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1.指标体系框架</w:t>
      </w:r>
    </w:p>
    <w:p>
      <w:pPr>
        <w:ind w:firstLine="640"/>
        <w:jc w:val="both"/>
        <w:rPr>
          <w:rFonts w:ascii="黑体" w:hAnsi="黑体" w:eastAsia="黑体" w:cs="黑体"/>
          <w:sz w:val="28"/>
          <w:szCs w:val="28"/>
        </w:rPr>
      </w:pPr>
      <w:r>
        <w:rPr>
          <w:rFonts w:hint="eastAsia" w:ascii="仿宋_GB2312" w:hAnsi="仿宋_GB2312" w:eastAsia="仿宋_GB2312" w:cs="仿宋_GB2312"/>
          <w:szCs w:val="32"/>
        </w:rPr>
        <w:t>本次绩效评价指标共分三级。一级指标4个：决策（20分）、过程（20分）、产出（30分）、效益（30分），二级指标14个，三级指标20个。具体指标如下表所示：</w:t>
      </w:r>
    </w:p>
    <w:p>
      <w:pPr>
        <w:ind w:firstLine="560"/>
        <w:jc w:val="center"/>
        <w:rPr>
          <w:rFonts w:ascii="黑体" w:hAnsi="黑体" w:eastAsia="黑体" w:cs="黑体"/>
          <w:sz w:val="28"/>
          <w:szCs w:val="28"/>
        </w:rPr>
      </w:pPr>
      <w:r>
        <w:rPr>
          <w:rFonts w:hint="eastAsia" w:ascii="黑体" w:hAnsi="黑体" w:eastAsia="黑体" w:cs="黑体"/>
          <w:sz w:val="28"/>
          <w:szCs w:val="28"/>
        </w:rPr>
        <w:t>表2-1  评价指标体系</w:t>
      </w:r>
    </w:p>
    <w:tbl>
      <w:tblPr>
        <w:tblStyle w:val="15"/>
        <w:tblW w:w="883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454"/>
        <w:gridCol w:w="1549"/>
        <w:gridCol w:w="4623"/>
        <w:gridCol w:w="12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4" w:hRule="exact"/>
          <w:tblHeader/>
          <w:jc w:val="center"/>
        </w:trPr>
        <w:tc>
          <w:tcPr>
            <w:tcW w:w="1454"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一级指标</w:t>
            </w:r>
          </w:p>
        </w:tc>
        <w:tc>
          <w:tcPr>
            <w:tcW w:w="1549"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二级指标</w:t>
            </w:r>
          </w:p>
        </w:tc>
        <w:tc>
          <w:tcPr>
            <w:tcW w:w="4623"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三级指标</w:t>
            </w:r>
          </w:p>
        </w:tc>
        <w:tc>
          <w:tcPr>
            <w:tcW w:w="1204"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kern w:val="0"/>
                <w:sz w:val="21"/>
                <w:szCs w:val="20"/>
              </w:rPr>
            </w:pPr>
            <w:r>
              <w:rPr>
                <w:rFonts w:hint="eastAsia" w:ascii="宋体" w:hAnsi="宋体" w:eastAsia="宋体" w:cs="宋体"/>
                <w:b/>
                <w:kern w:val="0"/>
                <w:sz w:val="21"/>
                <w:szCs w:val="20"/>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A决策</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（20分）</w:t>
            </w:r>
          </w:p>
        </w:tc>
        <w:tc>
          <w:tcPr>
            <w:tcW w:w="154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A1项目立项</w:t>
            </w:r>
          </w:p>
        </w:tc>
        <w:tc>
          <w:tcPr>
            <w:tcW w:w="4623" w:type="dxa"/>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A1-1立项依据充分性</w:t>
            </w:r>
          </w:p>
        </w:tc>
        <w:tc>
          <w:tcPr>
            <w:tcW w:w="1204" w:type="dxa"/>
            <w:tcBorders>
              <w:bottom w:val="single" w:color="auto" w:sz="4" w:space="0"/>
            </w:tcBorders>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A1-2立项程序规范性</w:t>
            </w:r>
          </w:p>
        </w:tc>
        <w:tc>
          <w:tcPr>
            <w:tcW w:w="1204" w:type="dxa"/>
            <w:tcBorders>
              <w:top w:val="single" w:color="auto" w:sz="4" w:space="0"/>
              <w:bottom w:val="single" w:color="auto" w:sz="4" w:space="0"/>
            </w:tcBorders>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A2绩效目标</w:t>
            </w: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A2-1绩效目标合理性</w:t>
            </w:r>
          </w:p>
        </w:tc>
        <w:tc>
          <w:tcPr>
            <w:tcW w:w="1204" w:type="dxa"/>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A2-2绩效指标明确性</w:t>
            </w:r>
          </w:p>
        </w:tc>
        <w:tc>
          <w:tcPr>
            <w:tcW w:w="1204" w:type="dxa"/>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A3资金投入</w:t>
            </w: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A3-1预算编制科学性</w:t>
            </w:r>
          </w:p>
        </w:tc>
        <w:tc>
          <w:tcPr>
            <w:tcW w:w="1204"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A3-2资金分配合理性</w:t>
            </w:r>
          </w:p>
        </w:tc>
        <w:tc>
          <w:tcPr>
            <w:tcW w:w="1204"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B过程</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（20分）</w:t>
            </w: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B1资金管理</w:t>
            </w:r>
          </w:p>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B1-1资金到位率</w:t>
            </w:r>
          </w:p>
        </w:tc>
        <w:tc>
          <w:tcPr>
            <w:tcW w:w="120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B1-2预算执行率</w:t>
            </w:r>
          </w:p>
        </w:tc>
        <w:tc>
          <w:tcPr>
            <w:tcW w:w="120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B1-3资金使用合规性</w:t>
            </w:r>
          </w:p>
        </w:tc>
        <w:tc>
          <w:tcPr>
            <w:tcW w:w="120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B2组织实施</w:t>
            </w: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B2-1管理制度健全性</w:t>
            </w:r>
          </w:p>
        </w:tc>
        <w:tc>
          <w:tcPr>
            <w:tcW w:w="120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B2-2制度执行有效性</w:t>
            </w:r>
          </w:p>
        </w:tc>
        <w:tc>
          <w:tcPr>
            <w:tcW w:w="120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C产出</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（30分）</w:t>
            </w:r>
          </w:p>
        </w:tc>
        <w:tc>
          <w:tcPr>
            <w:tcW w:w="1549"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C1产出数量</w:t>
            </w: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C1-1项目完成率</w:t>
            </w:r>
          </w:p>
        </w:tc>
        <w:tc>
          <w:tcPr>
            <w:tcW w:w="1204"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C2产出质量</w:t>
            </w: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C2-1验收合格率</w:t>
            </w:r>
          </w:p>
        </w:tc>
        <w:tc>
          <w:tcPr>
            <w:tcW w:w="1204" w:type="dxa"/>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C3产出时效</w:t>
            </w: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C3-1完成及时性</w:t>
            </w:r>
          </w:p>
        </w:tc>
        <w:tc>
          <w:tcPr>
            <w:tcW w:w="120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C4产出成本</w:t>
            </w:r>
          </w:p>
        </w:tc>
        <w:tc>
          <w:tcPr>
            <w:tcW w:w="4623"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C4-1成本节约率</w:t>
            </w:r>
          </w:p>
        </w:tc>
        <w:tc>
          <w:tcPr>
            <w:tcW w:w="1204"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D效益</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（30分）</w:t>
            </w: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D1社会效益</w:t>
            </w: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D1-1</w:t>
            </w:r>
            <w:r>
              <w:rPr>
                <w:rFonts w:hint="eastAsia" w:ascii="宋体" w:hAnsi="宋体" w:eastAsia="宋体" w:cs="宋体"/>
                <w:sz w:val="21"/>
                <w:szCs w:val="21"/>
              </w:rPr>
              <w:t>改善交通路网情况</w:t>
            </w:r>
          </w:p>
        </w:tc>
        <w:tc>
          <w:tcPr>
            <w:tcW w:w="120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D2经济效益</w:t>
            </w:r>
          </w:p>
        </w:tc>
        <w:tc>
          <w:tcPr>
            <w:tcW w:w="4623"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D2-1促进经济发展</w:t>
            </w:r>
          </w:p>
        </w:tc>
        <w:tc>
          <w:tcPr>
            <w:tcW w:w="1204"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D3生态效益</w:t>
            </w:r>
          </w:p>
        </w:tc>
        <w:tc>
          <w:tcPr>
            <w:tcW w:w="4623"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D3-1美化环境</w:t>
            </w:r>
          </w:p>
        </w:tc>
        <w:tc>
          <w:tcPr>
            <w:tcW w:w="1204"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D4可持续影响</w:t>
            </w:r>
          </w:p>
        </w:tc>
        <w:tc>
          <w:tcPr>
            <w:tcW w:w="4623"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D4-1可持续利用性</w:t>
            </w:r>
          </w:p>
        </w:tc>
        <w:tc>
          <w:tcPr>
            <w:tcW w:w="1204"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D5满意度</w:t>
            </w:r>
          </w:p>
        </w:tc>
        <w:tc>
          <w:tcPr>
            <w:tcW w:w="4623"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D5-1受益对象满意度</w:t>
            </w:r>
          </w:p>
        </w:tc>
        <w:tc>
          <w:tcPr>
            <w:tcW w:w="1204"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tcBorders>
              <w:top w:val="single" w:color="auto" w:sz="4" w:space="0"/>
            </w:tcBorders>
            <w:vAlign w:val="center"/>
          </w:tcPr>
          <w:p>
            <w:pPr>
              <w:widowControl/>
              <w:spacing w:line="260" w:lineRule="exact"/>
              <w:ind w:firstLine="0" w:firstLineChars="0"/>
              <w:jc w:val="center"/>
              <w:textAlignment w:val="center"/>
              <w:rPr>
                <w:rFonts w:ascii="宋体" w:hAnsi="宋体" w:eastAsia="宋体" w:cs="宋体"/>
                <w:b/>
                <w:bCs/>
                <w:sz w:val="21"/>
                <w:szCs w:val="20"/>
              </w:rPr>
            </w:pPr>
            <w:r>
              <w:rPr>
                <w:rFonts w:hint="eastAsia" w:ascii="宋体" w:hAnsi="宋体" w:eastAsia="宋体" w:cs="宋体"/>
                <w:b/>
                <w:bCs/>
                <w:kern w:val="0"/>
                <w:sz w:val="21"/>
                <w:szCs w:val="20"/>
              </w:rPr>
              <w:t>总分</w:t>
            </w: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b/>
                <w:bCs/>
                <w:sz w:val="21"/>
                <w:szCs w:val="20"/>
              </w:rPr>
            </w:pPr>
          </w:p>
        </w:tc>
        <w:tc>
          <w:tcPr>
            <w:tcW w:w="4623" w:type="dxa"/>
            <w:vAlign w:val="center"/>
          </w:tcPr>
          <w:p>
            <w:pPr>
              <w:spacing w:line="260" w:lineRule="exact"/>
              <w:ind w:firstLine="0" w:firstLineChars="0"/>
              <w:jc w:val="center"/>
              <w:rPr>
                <w:rFonts w:ascii="宋体" w:hAnsi="宋体" w:eastAsia="宋体" w:cs="宋体"/>
                <w:b/>
                <w:bCs/>
                <w:sz w:val="21"/>
                <w:szCs w:val="20"/>
              </w:rPr>
            </w:pPr>
          </w:p>
        </w:tc>
        <w:tc>
          <w:tcPr>
            <w:tcW w:w="1204" w:type="dxa"/>
            <w:vAlign w:val="center"/>
          </w:tcPr>
          <w:p>
            <w:pPr>
              <w:spacing w:line="260" w:lineRule="exact"/>
              <w:ind w:firstLine="0" w:firstLineChars="0"/>
              <w:jc w:val="center"/>
              <w:textAlignment w:val="center"/>
              <w:rPr>
                <w:rFonts w:ascii="宋体" w:hAnsi="宋体" w:eastAsia="宋体" w:cs="宋体"/>
                <w:b/>
                <w:bCs/>
                <w:kern w:val="0"/>
                <w:sz w:val="21"/>
                <w:szCs w:val="20"/>
              </w:rPr>
            </w:pPr>
            <w:r>
              <w:rPr>
                <w:rFonts w:hint="eastAsia" w:ascii="宋体" w:hAnsi="宋体" w:eastAsia="宋体" w:cs="宋体"/>
                <w:b/>
                <w:bCs/>
                <w:kern w:val="0"/>
                <w:sz w:val="21"/>
                <w:szCs w:val="20"/>
              </w:rPr>
              <w:t>100</w:t>
            </w:r>
          </w:p>
        </w:tc>
      </w:tr>
    </w:tbl>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2.绩效指标赋分规则</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（1）直接赋分。主要适用于进行是否满足的单一评判指标。符合要求的得满分，不符合要求的不得分或者扣相应的分数。</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（2）按照完成比例赋分，同时设置及格门槛。主要适用于量化的统计类等定量指标。具体可根据指标目标值的精细程度、数据变化进行设定。</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（3）满意度赋分。适用于对受益群体的满意程度询问调查，根据实际满意程度按比例得分。</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3.评价结果等级标准</w:t>
      </w:r>
    </w:p>
    <w:bookmarkEnd w:id="71"/>
    <w:tbl>
      <w:tblPr>
        <w:tblStyle w:val="15"/>
        <w:tblW w:w="8726" w:type="dxa"/>
        <w:jc w:val="center"/>
        <w:tblLayout w:type="fixed"/>
        <w:tblCellMar>
          <w:top w:w="15" w:type="dxa"/>
          <w:left w:w="15" w:type="dxa"/>
          <w:bottom w:w="15" w:type="dxa"/>
          <w:right w:w="15" w:type="dxa"/>
        </w:tblCellMar>
      </w:tblPr>
      <w:tblGrid>
        <w:gridCol w:w="4326"/>
        <w:gridCol w:w="4400"/>
      </w:tblGrid>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spacing w:line="240" w:lineRule="auto"/>
              <w:ind w:right="102" w:firstLine="0" w:firstLineChars="0"/>
              <w:jc w:val="center"/>
              <w:rPr>
                <w:rFonts w:ascii="宋体" w:hAnsi="宋体" w:eastAsia="宋体" w:cs="宋体"/>
                <w:b/>
                <w:bCs/>
                <w:kern w:val="0"/>
                <w:sz w:val="21"/>
                <w:szCs w:val="21"/>
              </w:rPr>
            </w:pPr>
            <w:bookmarkStart w:id="72" w:name="_Toc23720"/>
            <w:r>
              <w:rPr>
                <w:rFonts w:hint="eastAsia" w:ascii="宋体" w:hAnsi="宋体" w:eastAsia="宋体" w:cs="宋体"/>
                <w:b/>
                <w:bCs/>
                <w:kern w:val="0"/>
                <w:sz w:val="21"/>
                <w:szCs w:val="21"/>
              </w:rPr>
              <w:t>分值范围</w:t>
            </w:r>
          </w:p>
        </w:tc>
        <w:tc>
          <w:tcPr>
            <w:tcW w:w="440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spacing w:line="240" w:lineRule="auto"/>
              <w:ind w:right="102"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绩效级别</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90≤分值≤100</w:t>
            </w:r>
          </w:p>
        </w:tc>
        <w:tc>
          <w:tcPr>
            <w:tcW w:w="4400"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优</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80≤分值&lt;90</w:t>
            </w:r>
          </w:p>
        </w:tc>
        <w:tc>
          <w:tcPr>
            <w:tcW w:w="4400"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良</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60≤分值&lt;80</w:t>
            </w:r>
          </w:p>
        </w:tc>
        <w:tc>
          <w:tcPr>
            <w:tcW w:w="4400"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中</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分值&lt;60</w:t>
            </w:r>
          </w:p>
        </w:tc>
        <w:tc>
          <w:tcPr>
            <w:tcW w:w="4400"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差</w:t>
            </w:r>
          </w:p>
        </w:tc>
      </w:tr>
    </w:tbl>
    <w:p>
      <w:pPr>
        <w:pStyle w:val="6"/>
        <w:adjustRightInd w:val="0"/>
        <w:snapToGrid w:val="0"/>
        <w:spacing w:before="156" w:beforeLines="50"/>
        <w:ind w:firstLine="643"/>
      </w:pPr>
      <w:bookmarkStart w:id="73" w:name="_Toc20821"/>
      <w:r>
        <w:rPr>
          <w:rFonts w:hint="eastAsia"/>
        </w:rPr>
        <w:t>（六）评价的组织实施</w:t>
      </w:r>
      <w:bookmarkEnd w:id="73"/>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1.工作组人员及分工</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为使本次绩效评价工作顺利进行，我公司成立绩效评价工作组，评价组由6人组成。具体分工如下表所示：</w:t>
      </w:r>
    </w:p>
    <w:p>
      <w:pPr>
        <w:spacing w:line="240" w:lineRule="auto"/>
        <w:ind w:firstLine="0" w:firstLineChars="0"/>
        <w:jc w:val="center"/>
        <w:rPr>
          <w:rFonts w:ascii="黑体" w:hAnsi="黑体" w:eastAsia="黑体" w:cs="黑体"/>
          <w:bCs/>
          <w:sz w:val="28"/>
          <w:szCs w:val="28"/>
        </w:rPr>
      </w:pPr>
      <w:r>
        <w:rPr>
          <w:rFonts w:hint="eastAsia" w:ascii="黑体" w:hAnsi="黑体" w:eastAsia="黑体" w:cs="黑体"/>
          <w:bCs/>
          <w:sz w:val="28"/>
          <w:szCs w:val="28"/>
        </w:rPr>
        <w:t>表2-2  人员分工表</w:t>
      </w:r>
    </w:p>
    <w:tbl>
      <w:tblPr>
        <w:tblStyle w:val="16"/>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581"/>
        <w:gridCol w:w="1590"/>
        <w:gridCol w:w="4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jc w:val="center"/>
        </w:trPr>
        <w:tc>
          <w:tcPr>
            <w:tcW w:w="1209"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姓名</w:t>
            </w:r>
          </w:p>
        </w:tc>
        <w:tc>
          <w:tcPr>
            <w:tcW w:w="1581"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职位</w:t>
            </w:r>
          </w:p>
        </w:tc>
        <w:tc>
          <w:tcPr>
            <w:tcW w:w="1590"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职称</w:t>
            </w:r>
          </w:p>
        </w:tc>
        <w:tc>
          <w:tcPr>
            <w:tcW w:w="4737"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尉灵房</w:t>
            </w:r>
          </w:p>
        </w:tc>
        <w:tc>
          <w:tcPr>
            <w:tcW w:w="1581"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质量控制</w:t>
            </w:r>
          </w:p>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复核人</w:t>
            </w:r>
          </w:p>
        </w:tc>
        <w:tc>
          <w:tcPr>
            <w:tcW w:w="1590"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注册会计师</w:t>
            </w:r>
          </w:p>
        </w:tc>
        <w:tc>
          <w:tcPr>
            <w:tcW w:w="4737" w:type="dxa"/>
            <w:vAlign w:val="center"/>
          </w:tcPr>
          <w:p>
            <w:pPr>
              <w:spacing w:line="400" w:lineRule="exact"/>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协调沟通，参与制定实施方案，修改绩效评价报告，督导项目进度和项目质量。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陈召月</w:t>
            </w:r>
          </w:p>
        </w:tc>
        <w:tc>
          <w:tcPr>
            <w:tcW w:w="1581"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二级复核人</w:t>
            </w:r>
          </w:p>
        </w:tc>
        <w:tc>
          <w:tcPr>
            <w:tcW w:w="1590"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注册会计师</w:t>
            </w:r>
          </w:p>
        </w:tc>
        <w:tc>
          <w:tcPr>
            <w:tcW w:w="4737" w:type="dxa"/>
            <w:vAlign w:val="center"/>
          </w:tcPr>
          <w:p>
            <w:pPr>
              <w:spacing w:line="400" w:lineRule="exact"/>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参与制定实施方案，督促小组成员按照时间进度执行业务，参与总报告修改，审核总报告。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王  敏</w:t>
            </w:r>
          </w:p>
        </w:tc>
        <w:tc>
          <w:tcPr>
            <w:tcW w:w="1581"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绩效评价组</w:t>
            </w:r>
          </w:p>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主评人</w:t>
            </w:r>
          </w:p>
        </w:tc>
        <w:tc>
          <w:tcPr>
            <w:tcW w:w="1590"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中级会计师</w:t>
            </w:r>
          </w:p>
        </w:tc>
        <w:tc>
          <w:tcPr>
            <w:tcW w:w="4737" w:type="dxa"/>
            <w:vAlign w:val="center"/>
          </w:tcPr>
          <w:p>
            <w:pPr>
              <w:spacing w:line="400" w:lineRule="exact"/>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组织制定实施方案与现场绩效评价、设计问卷调查方案、撰写总报告。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古  盼</w:t>
            </w:r>
          </w:p>
        </w:tc>
        <w:tc>
          <w:tcPr>
            <w:tcW w:w="1581"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绩效评价组成员</w:t>
            </w:r>
          </w:p>
        </w:tc>
        <w:tc>
          <w:tcPr>
            <w:tcW w:w="1590"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中级会计师</w:t>
            </w:r>
          </w:p>
        </w:tc>
        <w:tc>
          <w:tcPr>
            <w:tcW w:w="4737" w:type="dxa"/>
            <w:vAlign w:val="center"/>
          </w:tcPr>
          <w:p>
            <w:pPr>
              <w:spacing w:line="400" w:lineRule="exact"/>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协助制定实施方案、指标设计、撰写报告，现场绩效评价、问卷调查。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杨  坤</w:t>
            </w:r>
          </w:p>
        </w:tc>
        <w:tc>
          <w:tcPr>
            <w:tcW w:w="1581"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绩效评价组成员</w:t>
            </w:r>
          </w:p>
        </w:tc>
        <w:tc>
          <w:tcPr>
            <w:tcW w:w="1590"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初级会计师</w:t>
            </w:r>
          </w:p>
        </w:tc>
        <w:tc>
          <w:tcPr>
            <w:tcW w:w="4737" w:type="dxa"/>
            <w:vAlign w:val="center"/>
          </w:tcPr>
          <w:p>
            <w:pPr>
              <w:spacing w:line="400" w:lineRule="exact"/>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负责实地调研、问卷调查等。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秦佳琪</w:t>
            </w:r>
          </w:p>
        </w:tc>
        <w:tc>
          <w:tcPr>
            <w:tcW w:w="1581"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绩效评价组成员</w:t>
            </w:r>
          </w:p>
        </w:tc>
        <w:tc>
          <w:tcPr>
            <w:tcW w:w="1590"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初级会计师</w:t>
            </w:r>
          </w:p>
        </w:tc>
        <w:tc>
          <w:tcPr>
            <w:tcW w:w="4737" w:type="dxa"/>
            <w:vAlign w:val="center"/>
          </w:tcPr>
          <w:p>
            <w:pPr>
              <w:spacing w:line="400" w:lineRule="exact"/>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负责实地调研、问卷调查等。</w:t>
            </w:r>
          </w:p>
        </w:tc>
      </w:tr>
    </w:tbl>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2.工作安排、工作要求及具体时间进度</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评价实施过程分为绩效评价前期准备、现场实施、绩效评价报告撰写和提交三个阶段。绩效评价工作于2022年9月6日—2022年11月25日内完成，前期通过查阅政府有关文件、进行访谈等方式搜集整理资料，编制绩效评价工作方案。在此基础上，通过实施下列工作流程，完成评价工作：</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（1）评价前期准备阶段（2022年9月6日—9月23日）</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成立评价工作小组，制定项目评价实施方案。评价人员在收集、审核资料的基础上，根据项目具体情况制定绩效评价实施方案，并拟定评价指标体系，细化评分标准，报永济市财政局审核。</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（2）评价现场实施阶段（2022年</w:t>
      </w:r>
      <w:r>
        <w:rPr>
          <w:rFonts w:hint="eastAsia" w:ascii="仿宋_GB2312" w:hAnsi="仿宋_GB2312" w:eastAsia="仿宋_GB2312" w:cs="仿宋_GB2312"/>
          <w:kern w:val="28"/>
          <w:szCs w:val="32"/>
        </w:rPr>
        <w:t>9月24日—10月25日</w:t>
      </w:r>
      <w:r>
        <w:rPr>
          <w:rFonts w:hint="eastAsia" w:ascii="仿宋_GB2312" w:hAnsi="仿宋_GB2312" w:eastAsia="仿宋_GB2312" w:cs="仿宋_GB2312"/>
          <w:szCs w:val="32"/>
        </w:rPr>
        <w:t>）</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评价组根据确定的工作方案，下发基础表、资料清单等至项目实施单位填写基础表、准备相关资料。评价组进行实地数据采集，完善评价基础资料，并进行查验，深入了解项目情况，组织开展问卷调查、访谈等。对相关文件、资料、财务数据进行甄别、汇总、分析，结合绩效评价指标、权重、标准和方法进行定量定性分析和综合评价，形成评价结论。运用定量与定性结合的方法确定分值。具体工作包括：</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a.现场检查。收集整理，分析项目业务和财务资料，并积极发挥专家的业务优势，对项目决策、项目管理、项目效益中的业务资料和财务信息进行了检查。评价人员对项目资料进行详细分析，重点审查了项目绩效情况，同时对实施单位提交的绩效自评或验收报告进行审查。</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 xml:space="preserve">b.资料信息汇总。将现场收集的项目资料进行分类归集。按照资料清单，逐一分类，核实资料的完整性。根据资料所反映的项目信息，分析资料的真实性。结合绩效评价的重点，检查资料的充分性。评价人员按照指标体系，对项目资料进行梳理，以保证所收集的资料真实反映项目的实际情况，避免出现遗漏。 </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（3）评价报告撰写阶段（</w:t>
      </w:r>
      <w:r>
        <w:rPr>
          <w:rFonts w:hint="eastAsia" w:ascii="仿宋_GB2312" w:hAnsi="仿宋_GB2312" w:eastAsia="仿宋_GB2312" w:cs="仿宋_GB2312"/>
          <w:kern w:val="28"/>
          <w:szCs w:val="32"/>
        </w:rPr>
        <w:t>2022年10月26日—11月25日</w:t>
      </w:r>
      <w:r>
        <w:rPr>
          <w:rFonts w:hint="eastAsia" w:ascii="仿宋_GB2312" w:hAnsi="仿宋_GB2312" w:eastAsia="仿宋_GB2312" w:cs="仿宋_GB2312"/>
          <w:szCs w:val="32"/>
        </w:rPr>
        <w:t>）</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分析评价数据，依据制定的评价标准和指标分值，对单位履职效能、管理效率、社会效应、可持续性进行分析打分，撰写绩效评价报告，针对存在问题提出改进建议。组织专家对报告进行评审，评审通过后，依据相关意见对报告进行修改完善，形成绩效评价报告终稿提交永济市财政局。</w:t>
      </w:r>
    </w:p>
    <w:bookmarkEnd w:id="72"/>
    <w:p>
      <w:pPr>
        <w:pStyle w:val="5"/>
        <w:ind w:firstLine="640"/>
        <w:rPr>
          <w:b w:val="0"/>
          <w:bCs/>
        </w:rPr>
      </w:pPr>
      <w:bookmarkStart w:id="74" w:name="_Toc6194"/>
      <w:bookmarkStart w:id="75" w:name="_Toc30072"/>
      <w:bookmarkStart w:id="76" w:name="_Toc19522"/>
      <w:bookmarkStart w:id="77" w:name="_Toc3151"/>
      <w:bookmarkStart w:id="78" w:name="_Toc20263"/>
      <w:bookmarkStart w:id="79" w:name="_Toc21248"/>
      <w:r>
        <w:rPr>
          <w:rFonts w:hint="eastAsia"/>
          <w:b w:val="0"/>
          <w:bCs/>
        </w:rPr>
        <w:t>三、绩效评价结论及评价指标分析</w:t>
      </w:r>
      <w:bookmarkEnd w:id="74"/>
      <w:bookmarkEnd w:id="75"/>
      <w:bookmarkEnd w:id="76"/>
      <w:bookmarkEnd w:id="77"/>
      <w:bookmarkEnd w:id="78"/>
    </w:p>
    <w:p>
      <w:pPr>
        <w:pStyle w:val="6"/>
        <w:adjustRightInd w:val="0"/>
        <w:snapToGrid w:val="0"/>
        <w:spacing w:before="156" w:beforeLines="50"/>
        <w:ind w:firstLine="643"/>
      </w:pPr>
      <w:bookmarkStart w:id="80" w:name="_Toc25822"/>
      <w:bookmarkStart w:id="81" w:name="_Toc19647"/>
      <w:bookmarkStart w:id="82" w:name="_Toc19918"/>
      <w:bookmarkStart w:id="83" w:name="_Toc1878_WPSOffice_Level2"/>
      <w:bookmarkStart w:id="84" w:name="_Toc11413"/>
      <w:bookmarkStart w:id="85" w:name="_Toc26379"/>
      <w:r>
        <w:rPr>
          <w:rFonts w:hint="eastAsia"/>
        </w:rPr>
        <w:t>（一）评价结论</w:t>
      </w:r>
      <w:bookmarkEnd w:id="80"/>
      <w:bookmarkEnd w:id="81"/>
      <w:bookmarkEnd w:id="82"/>
      <w:bookmarkEnd w:id="83"/>
      <w:bookmarkEnd w:id="84"/>
      <w:bookmarkEnd w:id="85"/>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经评价，</w:t>
      </w:r>
      <w:r>
        <w:rPr>
          <w:rFonts w:hint="eastAsia" w:ascii="仿宋_GB2312" w:hAnsi="仿宋_GB2312" w:eastAsia="仿宋_GB2312" w:cs="仿宋_GB2312"/>
        </w:rPr>
        <w:t>永济沿黄旅游公路改建工程</w:t>
      </w:r>
      <w:r>
        <w:rPr>
          <w:rFonts w:hint="eastAsia" w:ascii="仿宋_GB2312" w:hAnsi="仿宋_GB2312" w:eastAsia="仿宋_GB2312" w:cs="仿宋_GB2312"/>
          <w:szCs w:val="32"/>
        </w:rPr>
        <w:t>项目综合评价得分8</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.03分，绩效评价等级为“良”。具体分值和得分情况如下表所示：</w:t>
      </w:r>
    </w:p>
    <w:p>
      <w:pPr>
        <w:ind w:firstLine="560"/>
        <w:jc w:val="center"/>
        <w:rPr>
          <w:rFonts w:ascii="黑体" w:hAnsi="黑体" w:eastAsia="黑体" w:cs="黑体"/>
          <w:sz w:val="28"/>
          <w:szCs w:val="28"/>
        </w:rPr>
      </w:pPr>
      <w:r>
        <w:rPr>
          <w:rFonts w:hint="eastAsia" w:ascii="黑体" w:hAnsi="黑体" w:eastAsia="黑体" w:cs="黑体"/>
          <w:sz w:val="28"/>
          <w:szCs w:val="28"/>
        </w:rPr>
        <w:t>表3-1项目绩效评价得分情况</w:t>
      </w:r>
    </w:p>
    <w:tbl>
      <w:tblPr>
        <w:tblStyle w:val="16"/>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2175"/>
        <w:gridCol w:w="223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w:t>
            </w:r>
          </w:p>
        </w:tc>
        <w:tc>
          <w:tcPr>
            <w:tcW w:w="217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223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223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A决策</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B过程</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.21</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C产出</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22.4</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D效益</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26.42</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合计</w:t>
            </w:r>
          </w:p>
        </w:tc>
        <w:tc>
          <w:tcPr>
            <w:tcW w:w="2175"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100</w:t>
            </w:r>
          </w:p>
        </w:tc>
        <w:tc>
          <w:tcPr>
            <w:tcW w:w="2235"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8</w:t>
            </w:r>
            <w:r>
              <w:rPr>
                <w:rFonts w:hint="eastAsia" w:ascii="宋体" w:hAnsi="宋体" w:eastAsia="宋体" w:cs="宋体"/>
                <w:b/>
                <w:bCs/>
                <w:color w:val="000000"/>
                <w:kern w:val="0"/>
                <w:sz w:val="21"/>
                <w:szCs w:val="21"/>
                <w:lang w:val="en-US" w:eastAsia="zh-CN"/>
              </w:rPr>
              <w:t>4</w:t>
            </w:r>
            <w:r>
              <w:rPr>
                <w:rFonts w:hint="eastAsia" w:ascii="宋体" w:hAnsi="宋体" w:eastAsia="宋体" w:cs="宋体"/>
                <w:b/>
                <w:bCs/>
                <w:color w:val="000000"/>
                <w:kern w:val="0"/>
                <w:sz w:val="21"/>
                <w:szCs w:val="21"/>
              </w:rPr>
              <w:t>.03</w:t>
            </w:r>
          </w:p>
        </w:tc>
        <w:tc>
          <w:tcPr>
            <w:tcW w:w="2235"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8</w:t>
            </w:r>
            <w:r>
              <w:rPr>
                <w:rFonts w:hint="eastAsia" w:ascii="宋体" w:hAnsi="宋体" w:eastAsia="宋体" w:cs="宋体"/>
                <w:b/>
                <w:bCs/>
                <w:color w:val="000000"/>
                <w:kern w:val="0"/>
                <w:sz w:val="21"/>
                <w:szCs w:val="21"/>
                <w:lang w:val="en-US" w:eastAsia="zh-CN"/>
              </w:rPr>
              <w:t>4</w:t>
            </w:r>
            <w:r>
              <w:rPr>
                <w:rFonts w:hint="eastAsia" w:ascii="宋体" w:hAnsi="宋体" w:eastAsia="宋体" w:cs="宋体"/>
                <w:b/>
                <w:bCs/>
                <w:color w:val="000000"/>
                <w:kern w:val="0"/>
                <w:sz w:val="21"/>
                <w:szCs w:val="21"/>
              </w:rPr>
              <w:t>.03</w:t>
            </w:r>
          </w:p>
        </w:tc>
      </w:tr>
    </w:tbl>
    <w:p>
      <w:pPr>
        <w:pStyle w:val="6"/>
        <w:adjustRightInd w:val="0"/>
        <w:snapToGrid w:val="0"/>
        <w:spacing w:before="156" w:beforeLines="50"/>
        <w:ind w:firstLine="643"/>
      </w:pPr>
      <w:bookmarkStart w:id="86" w:name="_Toc6971"/>
      <w:bookmarkStart w:id="87" w:name="_Toc31634"/>
      <w:bookmarkStart w:id="88" w:name="_Toc3620"/>
      <w:bookmarkStart w:id="89" w:name="_Toc19543_WPSOffice_Level2"/>
      <w:bookmarkStart w:id="90" w:name="_Toc21727_WPSOffice_Level2"/>
      <w:bookmarkStart w:id="91" w:name="_Toc9026_WPSOffice_Level2"/>
      <w:bookmarkStart w:id="92" w:name="_Toc5288"/>
      <w:bookmarkStart w:id="93" w:name="_Toc25465_WPSOffice_Level2"/>
      <w:bookmarkStart w:id="94" w:name="_Toc31752"/>
      <w:r>
        <w:rPr>
          <w:rFonts w:hint="eastAsia"/>
        </w:rPr>
        <w:t>（二）评价指标分析</w:t>
      </w:r>
      <w:bookmarkEnd w:id="86"/>
      <w:bookmarkEnd w:id="87"/>
      <w:bookmarkEnd w:id="88"/>
      <w:bookmarkEnd w:id="89"/>
      <w:bookmarkEnd w:id="90"/>
      <w:bookmarkEnd w:id="91"/>
      <w:bookmarkEnd w:id="92"/>
      <w:bookmarkEnd w:id="93"/>
      <w:bookmarkEnd w:id="94"/>
    </w:p>
    <w:p>
      <w:pPr>
        <w:ind w:firstLine="643"/>
        <w:jc w:val="both"/>
        <w:rPr>
          <w:rFonts w:ascii="仿宋_GB2312" w:hAnsi="仿宋_GB2312" w:eastAsia="仿宋_GB2312" w:cs="仿宋_GB2312"/>
          <w:b/>
          <w:bCs/>
          <w:szCs w:val="32"/>
        </w:rPr>
      </w:pPr>
      <w:bookmarkStart w:id="95" w:name="_Toc18096"/>
      <w:bookmarkStart w:id="96" w:name="_Toc14022"/>
      <w:r>
        <w:rPr>
          <w:rFonts w:hint="eastAsia" w:ascii="仿宋_GB2312" w:hAnsi="仿宋_GB2312" w:eastAsia="仿宋_GB2312" w:cs="仿宋_GB2312"/>
          <w:b/>
          <w:bCs/>
          <w:szCs w:val="32"/>
        </w:rPr>
        <w:t>1.决策类指标</w:t>
      </w:r>
      <w:bookmarkEnd w:id="95"/>
      <w:bookmarkEnd w:id="96"/>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项目决策评价主要是从项目立项依据充分性、立项程序规范性、绩效目标合理性、绩效指标明确性、预算编制科学性、资金分配合理性进行分析。决策类指标设计分值20分，综合评价得分20分，得分率100%。</w:t>
      </w:r>
      <w:bookmarkStart w:id="97" w:name="_Toc11960"/>
      <w:bookmarkStart w:id="98" w:name="_Toc971"/>
      <w:bookmarkStart w:id="99" w:name="_Toc2138"/>
      <w:bookmarkStart w:id="100" w:name="_Toc32589"/>
      <w:bookmarkStart w:id="101" w:name="_Toc11718"/>
      <w:bookmarkStart w:id="102" w:name="_Toc12993"/>
      <w:r>
        <w:rPr>
          <w:rFonts w:hint="eastAsia" w:ascii="仿宋_GB2312" w:hAnsi="仿宋_GB2312" w:eastAsia="仿宋_GB2312" w:cs="仿宋_GB2312"/>
          <w:szCs w:val="32"/>
        </w:rPr>
        <w:t>具体得分情况如下表所示：</w:t>
      </w:r>
      <w:bookmarkEnd w:id="97"/>
      <w:bookmarkEnd w:id="98"/>
      <w:bookmarkEnd w:id="99"/>
      <w:bookmarkEnd w:id="100"/>
      <w:bookmarkEnd w:id="101"/>
      <w:bookmarkEnd w:id="102"/>
    </w:p>
    <w:p>
      <w:pPr>
        <w:ind w:firstLine="560"/>
        <w:jc w:val="center"/>
        <w:rPr>
          <w:rFonts w:ascii="黑体" w:hAnsi="黑体" w:eastAsia="黑体" w:cs="黑体"/>
          <w:sz w:val="28"/>
          <w:szCs w:val="28"/>
        </w:rPr>
      </w:pPr>
      <w:r>
        <w:rPr>
          <w:rFonts w:hint="eastAsia" w:ascii="黑体" w:hAnsi="黑体" w:eastAsia="黑体" w:cs="黑体"/>
          <w:sz w:val="28"/>
          <w:szCs w:val="28"/>
        </w:rPr>
        <w:t>表3-2 决策类指标得分情况</w:t>
      </w:r>
    </w:p>
    <w:tbl>
      <w:tblPr>
        <w:tblStyle w:val="16"/>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3149"/>
        <w:gridCol w:w="1219"/>
        <w:gridCol w:w="1138"/>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3149"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219"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138"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484"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restart"/>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bookmarkStart w:id="103" w:name="_Toc7165"/>
            <w:bookmarkStart w:id="104" w:name="_Toc21776"/>
            <w:bookmarkStart w:id="105" w:name="_Toc17323"/>
            <w:bookmarkStart w:id="106" w:name="_Toc25934"/>
            <w:bookmarkStart w:id="107" w:name="_Toc6395"/>
            <w:bookmarkStart w:id="108" w:name="_Toc30653"/>
            <w:bookmarkStart w:id="109" w:name="_Toc11307"/>
            <w:bookmarkStart w:id="110" w:name="_Toc27825"/>
            <w:r>
              <w:rPr>
                <w:rFonts w:hint="eastAsia" w:ascii="宋体" w:hAnsi="宋体" w:eastAsia="宋体" w:cs="宋体"/>
                <w:color w:val="000000"/>
                <w:kern w:val="0"/>
                <w:sz w:val="21"/>
                <w:szCs w:val="21"/>
              </w:rPr>
              <w:t>A1项目立项</w:t>
            </w:r>
            <w:bookmarkEnd w:id="103"/>
            <w:bookmarkEnd w:id="104"/>
            <w:bookmarkEnd w:id="105"/>
            <w:bookmarkEnd w:id="106"/>
            <w:bookmarkEnd w:id="107"/>
            <w:bookmarkEnd w:id="108"/>
            <w:bookmarkEnd w:id="109"/>
            <w:bookmarkEnd w:id="110"/>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A1-1立项依据充分性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widowControl/>
              <w:spacing w:line="520" w:lineRule="exact"/>
              <w:ind w:firstLine="420"/>
              <w:jc w:val="both"/>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continue"/>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A1-2立项程序规范性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widowControl/>
              <w:spacing w:line="520" w:lineRule="exact"/>
              <w:ind w:firstLine="420"/>
              <w:jc w:val="both"/>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restart"/>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bookmarkStart w:id="111" w:name="_Toc14907"/>
            <w:bookmarkStart w:id="112" w:name="_Toc22110"/>
            <w:bookmarkStart w:id="113" w:name="_Toc31528"/>
            <w:bookmarkStart w:id="114" w:name="_Toc14752"/>
            <w:bookmarkStart w:id="115" w:name="_Toc16446"/>
            <w:bookmarkStart w:id="116" w:name="_Toc24226"/>
            <w:bookmarkStart w:id="117" w:name="_Toc9983"/>
            <w:r>
              <w:rPr>
                <w:rFonts w:hint="eastAsia" w:ascii="宋体" w:hAnsi="宋体" w:eastAsia="宋体" w:cs="宋体"/>
                <w:color w:val="000000"/>
                <w:kern w:val="0"/>
                <w:sz w:val="21"/>
                <w:szCs w:val="21"/>
              </w:rPr>
              <w:t>A2绩效目标</w:t>
            </w:r>
            <w:bookmarkEnd w:id="111"/>
            <w:bookmarkEnd w:id="112"/>
            <w:bookmarkEnd w:id="113"/>
            <w:bookmarkEnd w:id="114"/>
            <w:bookmarkEnd w:id="115"/>
            <w:bookmarkEnd w:id="116"/>
            <w:bookmarkEnd w:id="117"/>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A2-1绩效目标合理性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484" w:type="dxa"/>
            <w:vAlign w:val="center"/>
          </w:tcPr>
          <w:p>
            <w:pPr>
              <w:widowControl/>
              <w:spacing w:line="520" w:lineRule="exact"/>
              <w:ind w:firstLine="420"/>
              <w:jc w:val="both"/>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continue"/>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A2-2绩效指标明确性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widowControl/>
              <w:spacing w:line="520" w:lineRule="exact"/>
              <w:ind w:firstLine="420"/>
              <w:jc w:val="both"/>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restart"/>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A3资金投入</w:t>
            </w: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A3-1预算编制科学性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484" w:type="dxa"/>
            <w:vAlign w:val="center"/>
          </w:tcPr>
          <w:p>
            <w:pPr>
              <w:widowControl/>
              <w:spacing w:line="520" w:lineRule="exact"/>
              <w:ind w:firstLine="420"/>
              <w:jc w:val="both"/>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continue"/>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A3-2资金分配合理性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widowControl/>
              <w:spacing w:line="520" w:lineRule="exact"/>
              <w:ind w:firstLine="420"/>
              <w:jc w:val="both"/>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68" w:type="dxa"/>
            <w:gridSpan w:val="2"/>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一级指标决策类得分合计</w:t>
            </w:r>
          </w:p>
        </w:tc>
        <w:tc>
          <w:tcPr>
            <w:tcW w:w="1219"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20</w:t>
            </w:r>
          </w:p>
        </w:tc>
        <w:tc>
          <w:tcPr>
            <w:tcW w:w="1138"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20</w:t>
            </w:r>
          </w:p>
        </w:tc>
        <w:tc>
          <w:tcPr>
            <w:tcW w:w="1484"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100</w:t>
            </w:r>
          </w:p>
        </w:tc>
      </w:tr>
    </w:tbl>
    <w:p>
      <w:pPr>
        <w:ind w:firstLine="640"/>
        <w:jc w:val="both"/>
        <w:rPr>
          <w:rFonts w:ascii="仿宋_GB2312" w:hAnsi="仿宋_GB2312" w:eastAsia="仿宋_GB2312" w:cs="仿宋_GB2312"/>
          <w:szCs w:val="32"/>
        </w:rPr>
      </w:pPr>
      <w:bookmarkStart w:id="118" w:name="_Toc22538"/>
      <w:bookmarkStart w:id="119" w:name="_Toc30936"/>
      <w:r>
        <w:rPr>
          <w:rFonts w:hint="eastAsia" w:ascii="仿宋_GB2312" w:hAnsi="仿宋_GB2312" w:eastAsia="仿宋_GB2312" w:cs="仿宋_GB2312"/>
          <w:szCs w:val="32"/>
        </w:rPr>
        <w:t>（1）A1-1立项依据充分性</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评价组通过查阅项目立项材料了解到，为充分发挥财政资金作用，根据《中共中央国务院关于实施乡村振兴战略的意见》（中发〔2018〕1号）、山西省人民政府办公厅《关于深入推进“四好农村路”建设的实施意见》（晋政办发〔2018〕54号）、山西省交通运输厅《关于三大模块旅游公路和“四好农村路”建设目标任务及融资方式的说明》和《关于推进黄河、长城、太行三大板块旅游公路建设的实施意见（2018-2020年）》、结合《永济市全域旅游总体规划及三年行动计划（2017-2021）》等文件确定实施本项目。</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永济市交通运输局的主要职能为：负责编制本市交通行业中长期发展规划及</w:t>
      </w:r>
      <w:r>
        <w:fldChar w:fldCharType="begin"/>
      </w:r>
      <w:r>
        <w:instrText xml:space="preserve"> HYPERLINK "https://baike.baidu.com/item/%E4%BA%A4%E9%80%9A%E5%9F%BA%E7%A1%80%E8%AE%BE%E6%96%BD/12695450?fromModule=lemma_inlink" \t "https://baike.baidu.com/item/%E6%B0%B8%E6%B5%8E%E5%B8%82%E4%BA%A4%E9%80%9A%E8%BF%90%E8%BE%93%E5%B1%80/_blank" </w:instrText>
      </w:r>
      <w:r>
        <w:fldChar w:fldCharType="separate"/>
      </w:r>
      <w:r>
        <w:rPr>
          <w:rFonts w:ascii="仿宋_GB2312" w:hAnsi="仿宋_GB2312" w:eastAsia="仿宋_GB2312" w:cs="仿宋_GB2312"/>
          <w:szCs w:val="32"/>
        </w:rPr>
        <w:t>交通基础设施</w:t>
      </w:r>
      <w:r>
        <w:rPr>
          <w:rFonts w:ascii="仿宋_GB2312" w:hAnsi="仿宋_GB2312" w:eastAsia="仿宋_GB2312" w:cs="仿宋_GB2312"/>
          <w:szCs w:val="32"/>
        </w:rPr>
        <w:fldChar w:fldCharType="end"/>
      </w:r>
      <w:r>
        <w:rPr>
          <w:rFonts w:ascii="仿宋_GB2312" w:hAnsi="仿宋_GB2312" w:eastAsia="仿宋_GB2312" w:cs="仿宋_GB2312"/>
          <w:szCs w:val="32"/>
        </w:rPr>
        <w:t>、城乡公共交通、综合运输等专项规划并监督执行</w:t>
      </w:r>
      <w:r>
        <w:rPr>
          <w:rFonts w:hint="eastAsia" w:ascii="仿宋_GB2312" w:hAnsi="仿宋_GB2312" w:eastAsia="仿宋_GB2312" w:cs="仿宋_GB2312"/>
          <w:szCs w:val="32"/>
        </w:rPr>
        <w:t>；制定本市交通近期建设维护、年度项目投资、专项资金开支等计划并监督检查；负责对本市交通旅客运输、物流和货物运输的行业管理等。评价组通过查阅资料未发现存在相关部门同类项目或部门内部相关项目与本项目重复的情况，项目属于永济市交通运输局部门履职所需。</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满分3分，得分3分，得分率100%。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（2）A1-2立项程序规范性</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评价组通过查阅项目业务资料，了解到永济市交通运输局于2018年11月21日呈报了永济沿黄旅游公路改建工程可行性研究报告，永济市发展和改革局于2018年12月14日对可行性研究报告进行了批复、于2019年5月21日对初步设计报告进行了批复。综上所述项目按规定的程序申请设立、立项提交的文件和材料符合国家有关法律法规和文件。</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满分3分，得分3分，得分率100%。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（3）A2-1绩效目标合理性</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通过核查项目绩效目标申报表，了解到永济市交通运输局制定的绩效目标合理，与其单位的实际工作内容相关，与预算确定的项目投资额相匹配。项目预期产出效益和效果符合正常业绩水平。</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满分4分，得分4分，得分率100%。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（4）A2-2绩效指标明确性</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通过核查项目绩效目标申报表，了解到项目单位根据相关要求将绩效目标分解为产出指标、效益指标、满意度指标等，绩效指标设置细化、全面，可通过清晰可衡量的指标予以体现。项目单位设置的绩效指标与项目目标任务数相对应。</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满分3分，得分3分，得分率100%。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（5）A3-1预算编制科学性</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项目经永济市财政投资评审中心评审，并分别出具永财评报[2019]第87号、[2020]第110号、[2020]第111号文件，文件确定永济市沿黄旅游公路改建工程（杨马-万固寺东段、张营-文学、西敬庄-张营、雪花山-万固寺东段）的相关建设费用，以及杨马-万固寺东段、张营-文学段的安全设施费用。综上所述，预算编制经过可行性论证，测算依据充分，按照标准编制。</w:t>
      </w:r>
    </w:p>
    <w:p>
      <w:pPr>
        <w:ind w:firstLine="640"/>
        <w:jc w:val="both"/>
        <w:rPr>
          <w:rFonts w:ascii="仿宋_GB2312" w:hAnsi="仿宋_GB2312" w:eastAsia="仿宋_GB2312" w:cs="仿宋_GB2312"/>
          <w:color w:val="FF0000"/>
          <w:szCs w:val="32"/>
        </w:rPr>
      </w:pPr>
      <w:r>
        <w:rPr>
          <w:rFonts w:hint="eastAsia" w:ascii="仿宋_GB2312" w:hAnsi="仿宋_GB2312" w:eastAsia="仿宋_GB2312" w:cs="仿宋_GB2312"/>
          <w:szCs w:val="32"/>
        </w:rPr>
        <w:t>满分4分，得分4分，得分率100%。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（6）A3-2资金分配合理性</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项目经过永济市财政投资评审中心评审并出具财政评审报告，预算资金分配依据充分，资金分配额度合理，与项目单位实际相适应。</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满分3分，得分3分，得分率100%。</w:t>
      </w:r>
    </w:p>
    <w:p>
      <w:pPr>
        <w:ind w:firstLine="643"/>
        <w:jc w:val="both"/>
        <w:outlineLvl w:val="2"/>
        <w:rPr>
          <w:rFonts w:ascii="仿宋_GB2312" w:hAnsi="仿宋_GB2312" w:eastAsia="仿宋_GB2312" w:cs="仿宋_GB2312"/>
          <w:b/>
          <w:bCs/>
          <w:szCs w:val="32"/>
        </w:rPr>
      </w:pPr>
      <w:r>
        <w:rPr>
          <w:rFonts w:hint="eastAsia" w:ascii="仿宋_GB2312" w:hAnsi="仿宋_GB2312" w:eastAsia="仿宋_GB2312" w:cs="仿宋_GB2312"/>
          <w:b/>
          <w:bCs/>
          <w:szCs w:val="32"/>
        </w:rPr>
        <w:t>2.过程类指标</w:t>
      </w:r>
      <w:bookmarkEnd w:id="118"/>
      <w:bookmarkEnd w:id="119"/>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项目过程评价包括资金管理和组织实施两个方面，资金管理主要评价项目的资金到位率、预算执行率、资金使用合规性。组织实施主要评价项目的管理制度健全性、制度执行有效性。过程类指标设计分值20分，综合评价得分1</w:t>
      </w:r>
      <w:r>
        <w:rPr>
          <w:rFonts w:hint="eastAsia" w:ascii="仿宋_GB2312" w:hAnsi="仿宋_GB2312" w:eastAsia="仿宋_GB2312" w:cs="仿宋_GB2312"/>
          <w:szCs w:val="32"/>
          <w:lang w:val="en-US" w:eastAsia="zh-CN"/>
        </w:rPr>
        <w:t>5</w:t>
      </w:r>
      <w:r>
        <w:rPr>
          <w:rFonts w:hint="eastAsia" w:ascii="仿宋_GB2312" w:hAnsi="仿宋_GB2312" w:eastAsia="仿宋_GB2312" w:cs="仿宋_GB2312"/>
          <w:szCs w:val="32"/>
        </w:rPr>
        <w:t>.21分，得分率</w:t>
      </w:r>
      <w:r>
        <w:rPr>
          <w:rFonts w:hint="eastAsia" w:ascii="仿宋_GB2312" w:hAnsi="仿宋_GB2312" w:eastAsia="仿宋_GB2312" w:cs="仿宋_GB2312"/>
          <w:szCs w:val="32"/>
          <w:lang w:val="en-US" w:eastAsia="zh-CN"/>
        </w:rPr>
        <w:t>76.05</w:t>
      </w:r>
      <w:r>
        <w:rPr>
          <w:rFonts w:hint="eastAsia" w:ascii="仿宋_GB2312" w:hAnsi="仿宋_GB2312" w:eastAsia="仿宋_GB2312" w:cs="仿宋_GB2312"/>
          <w:szCs w:val="32"/>
        </w:rPr>
        <w:t>%。</w:t>
      </w:r>
      <w:bookmarkStart w:id="120" w:name="_Toc291"/>
      <w:bookmarkStart w:id="121" w:name="_Toc1150"/>
      <w:bookmarkStart w:id="122" w:name="_Toc30969"/>
      <w:bookmarkStart w:id="123" w:name="_Toc3236"/>
      <w:bookmarkStart w:id="124" w:name="_Toc11206"/>
      <w:bookmarkStart w:id="125" w:name="_Toc9886"/>
      <w:r>
        <w:rPr>
          <w:rFonts w:hint="eastAsia" w:ascii="仿宋_GB2312" w:hAnsi="仿宋_GB2312" w:eastAsia="仿宋_GB2312" w:cs="仿宋_GB2312"/>
          <w:szCs w:val="32"/>
        </w:rPr>
        <w:t>具体得分情况如下表所示：</w:t>
      </w:r>
      <w:bookmarkEnd w:id="120"/>
      <w:bookmarkEnd w:id="121"/>
      <w:bookmarkEnd w:id="122"/>
      <w:bookmarkEnd w:id="123"/>
      <w:bookmarkEnd w:id="124"/>
      <w:bookmarkEnd w:id="125"/>
    </w:p>
    <w:p>
      <w:pPr>
        <w:ind w:firstLine="560"/>
        <w:jc w:val="center"/>
        <w:rPr>
          <w:rFonts w:ascii="黑体" w:hAnsi="黑体" w:eastAsia="黑体" w:cs="黑体"/>
          <w:sz w:val="28"/>
          <w:szCs w:val="28"/>
        </w:rPr>
      </w:pPr>
      <w:r>
        <w:rPr>
          <w:rFonts w:hint="eastAsia" w:ascii="黑体" w:hAnsi="黑体" w:eastAsia="黑体" w:cs="黑体"/>
          <w:sz w:val="28"/>
          <w:szCs w:val="28"/>
        </w:rPr>
        <w:t>表3-3过程类指标得分情况</w:t>
      </w:r>
    </w:p>
    <w:tbl>
      <w:tblPr>
        <w:tblStyle w:val="15"/>
        <w:tblW w:w="8701" w:type="dxa"/>
        <w:jc w:val="center"/>
        <w:tblLayout w:type="fixed"/>
        <w:tblCellMar>
          <w:top w:w="15" w:type="dxa"/>
          <w:left w:w="15" w:type="dxa"/>
          <w:bottom w:w="15" w:type="dxa"/>
          <w:right w:w="15" w:type="dxa"/>
        </w:tblCellMar>
      </w:tblPr>
      <w:tblGrid>
        <w:gridCol w:w="1731"/>
        <w:gridCol w:w="3459"/>
        <w:gridCol w:w="1264"/>
        <w:gridCol w:w="1045"/>
        <w:gridCol w:w="1202"/>
      </w:tblGrid>
      <w:tr>
        <w:tblPrEx>
          <w:tblCellMar>
            <w:top w:w="15" w:type="dxa"/>
            <w:left w:w="15" w:type="dxa"/>
            <w:bottom w:w="15" w:type="dxa"/>
            <w:right w:w="15" w:type="dxa"/>
          </w:tblCellMar>
        </w:tblPrEx>
        <w:trPr>
          <w:trHeight w:val="454" w:hRule="exact"/>
          <w:jc w:val="center"/>
        </w:trPr>
        <w:tc>
          <w:tcPr>
            <w:tcW w:w="1731"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3459" w:type="dxa"/>
            <w:tcBorders>
              <w:top w:val="single" w:color="000000" w:sz="4" w:space="0"/>
              <w:left w:val="single" w:color="000000" w:sz="4" w:space="0"/>
              <w:bottom w:val="single" w:color="000000" w:sz="4" w:space="0"/>
              <w:right w:val="single" w:color="auto"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264"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04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202"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CellMar>
            <w:top w:w="15" w:type="dxa"/>
            <w:left w:w="15" w:type="dxa"/>
            <w:bottom w:w="15" w:type="dxa"/>
            <w:right w:w="15" w:type="dxa"/>
          </w:tblCellMar>
        </w:tblPrEx>
        <w:trPr>
          <w:trHeight w:val="454" w:hRule="exact"/>
          <w:jc w:val="center"/>
        </w:trPr>
        <w:tc>
          <w:tcPr>
            <w:tcW w:w="173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B1资金管理</w:t>
            </w: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B1-1资金到位率</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B1-2预算执行率</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1.71</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85.5</w:t>
            </w:r>
          </w:p>
        </w:tc>
      </w:tr>
      <w:tr>
        <w:tblPrEx>
          <w:tblCellMar>
            <w:top w:w="15" w:type="dxa"/>
            <w:left w:w="15" w:type="dxa"/>
            <w:bottom w:w="15" w:type="dxa"/>
            <w:right w:w="15" w:type="dxa"/>
          </w:tblCellMar>
        </w:tblPrEx>
        <w:trPr>
          <w:trHeight w:val="454" w:hRule="exac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B1-3资金使用合规性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w:t>
            </w:r>
          </w:p>
        </w:tc>
      </w:tr>
      <w:tr>
        <w:tblPrEx>
          <w:tblCellMar>
            <w:top w:w="15" w:type="dxa"/>
            <w:left w:w="15" w:type="dxa"/>
            <w:bottom w:w="15" w:type="dxa"/>
            <w:right w:w="15" w:type="dxa"/>
          </w:tblCellMar>
        </w:tblPrEx>
        <w:trPr>
          <w:trHeight w:val="454" w:hRule="exact"/>
          <w:jc w:val="center"/>
        </w:trPr>
        <w:tc>
          <w:tcPr>
            <w:tcW w:w="173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B2组织实施</w:t>
            </w: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B2-1管理制度健全性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87.5</w:t>
            </w:r>
          </w:p>
        </w:tc>
      </w:tr>
      <w:tr>
        <w:tblPrEx>
          <w:tblCellMar>
            <w:top w:w="15" w:type="dxa"/>
            <w:left w:w="15" w:type="dxa"/>
            <w:bottom w:w="15" w:type="dxa"/>
            <w:right w:w="15" w:type="dxa"/>
          </w:tblCellMar>
        </w:tblPrEx>
        <w:trPr>
          <w:trHeight w:val="454" w:hRule="exac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B2-2制度执行有效性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w:t>
            </w:r>
          </w:p>
        </w:tc>
      </w:tr>
      <w:tr>
        <w:tblPrEx>
          <w:tblCellMar>
            <w:top w:w="15" w:type="dxa"/>
            <w:left w:w="15" w:type="dxa"/>
            <w:bottom w:w="15" w:type="dxa"/>
            <w:right w:w="15" w:type="dxa"/>
          </w:tblCellMar>
        </w:tblPrEx>
        <w:trPr>
          <w:trHeight w:val="454" w:hRule="exact"/>
          <w:jc w:val="center"/>
        </w:trPr>
        <w:tc>
          <w:tcPr>
            <w:tcW w:w="5190"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一级指标过程类合计</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20</w:t>
            </w:r>
          </w:p>
        </w:tc>
        <w:tc>
          <w:tcPr>
            <w:tcW w:w="104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1</w:t>
            </w:r>
            <w:r>
              <w:rPr>
                <w:rFonts w:hint="eastAsia" w:ascii="宋体" w:hAnsi="宋体" w:eastAsia="宋体" w:cs="宋体"/>
                <w:b/>
                <w:bCs/>
                <w:color w:val="000000"/>
                <w:kern w:val="0"/>
                <w:sz w:val="21"/>
                <w:szCs w:val="21"/>
                <w:lang w:val="en-US" w:eastAsia="zh-CN"/>
              </w:rPr>
              <w:t>5</w:t>
            </w:r>
            <w:r>
              <w:rPr>
                <w:rFonts w:hint="eastAsia" w:ascii="宋体" w:hAnsi="宋体" w:eastAsia="宋体" w:cs="宋体"/>
                <w:b/>
                <w:bCs/>
                <w:color w:val="000000"/>
                <w:kern w:val="0"/>
                <w:sz w:val="21"/>
                <w:szCs w:val="21"/>
              </w:rPr>
              <w:t>.21</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76.05</w:t>
            </w:r>
          </w:p>
        </w:tc>
      </w:tr>
    </w:tbl>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（1）B1-1 资金到位率</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通过核查项目财务数据了解到，依据永建财〔2019〕19号文件，下达专项资金1670万元（省级财政资金）、永建财〔2020〕14号文件，下达专项资金4035万元（省级财政资金）、永财预非税指〔2020〕016号，下达专项资金1110.97643万元、永财预非税指〔2020〕032号，下达专项资金105.81万元、永财预非税指〔2020〕095/96号，下达专项资金61.5万元、永财预〔2020〕012号，下达专项资金1000万元、永财预非税指〔2021〕008号，下达专项资金1205.217189万元、永财预〔2021〕004号，下达专项资金3600万元、永财预非税指〔2021〕067号，下达专项资金95.9459万元、永财预非税指〔2022〕021号，下达专项资金120.6253万元，共计到位资金</w:t>
      </w:r>
      <w:r>
        <w:rPr>
          <w:rFonts w:hint="eastAsia" w:ascii="仿宋_GB2312" w:hAnsi="仿宋_GB2312" w:eastAsia="仿宋_GB2312" w:cs="仿宋_GB2312"/>
          <w:kern w:val="28"/>
          <w:szCs w:val="32"/>
        </w:rPr>
        <w:t>13005.074819</w:t>
      </w:r>
      <w:r>
        <w:rPr>
          <w:rFonts w:hint="eastAsia" w:ascii="仿宋_GB2312" w:hAnsi="仿宋_GB2312" w:eastAsia="仿宋_GB2312" w:cs="仿宋_GB2312"/>
          <w:szCs w:val="32"/>
        </w:rPr>
        <w:t>万元（为永济沿黄旅游公路总项目共到位资金）。实际到位资金与预算资金一致，资金到位率100%。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满分2分，得分2分，得分率100%。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（2）B1-2 预算执行率</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截至评价基准日，永济沿黄旅游公路改建工程项目二三期实际到位资金</w:t>
      </w:r>
      <w:r>
        <w:rPr>
          <w:rFonts w:hint="eastAsia" w:ascii="仿宋_GB2312" w:hAnsi="仿宋_GB2312" w:eastAsia="仿宋_GB2312" w:cs="仿宋_GB2312"/>
          <w:kern w:val="28"/>
          <w:szCs w:val="32"/>
        </w:rPr>
        <w:t>13005.074819</w:t>
      </w:r>
      <w:r>
        <w:rPr>
          <w:rFonts w:hint="eastAsia" w:ascii="仿宋_GB2312" w:hAnsi="仿宋_GB2312" w:eastAsia="仿宋_GB2312" w:cs="仿宋_GB2312"/>
          <w:szCs w:val="32"/>
        </w:rPr>
        <w:t>万元，实际支付资金</w:t>
      </w:r>
      <w:r>
        <w:rPr>
          <w:rFonts w:hint="eastAsia" w:ascii="仿宋_GB2312" w:hAnsi="仿宋_GB2312" w:eastAsia="仿宋_GB2312" w:cs="仿宋_GB2312"/>
          <w:kern w:val="28"/>
          <w:szCs w:val="32"/>
        </w:rPr>
        <w:t>11682.056426</w:t>
      </w:r>
      <w:r>
        <w:rPr>
          <w:rFonts w:hint="eastAsia" w:ascii="仿宋_GB2312" w:hAnsi="仿宋_GB2312" w:eastAsia="仿宋_GB2312" w:cs="仿宋_GB2312"/>
          <w:szCs w:val="32"/>
        </w:rPr>
        <w:t>万元。预算执行率=（实际支付资金/到位资金）=（</w:t>
      </w:r>
      <w:r>
        <w:rPr>
          <w:rFonts w:hint="eastAsia" w:ascii="仿宋_GB2312" w:hAnsi="仿宋_GB2312" w:eastAsia="仿宋_GB2312" w:cs="仿宋_GB2312"/>
          <w:kern w:val="28"/>
          <w:szCs w:val="32"/>
        </w:rPr>
        <w:t>11682.056426</w:t>
      </w:r>
      <w:r>
        <w:rPr>
          <w:rFonts w:hint="eastAsia" w:ascii="仿宋_GB2312" w:hAnsi="仿宋_GB2312" w:eastAsia="仿宋_GB2312" w:cs="仿宋_GB2312"/>
          <w:szCs w:val="32"/>
        </w:rPr>
        <w:t>万元/</w:t>
      </w:r>
      <w:r>
        <w:rPr>
          <w:rFonts w:hint="eastAsia" w:ascii="仿宋_GB2312" w:hAnsi="仿宋_GB2312" w:eastAsia="仿宋_GB2312" w:cs="仿宋_GB2312"/>
          <w:kern w:val="28"/>
          <w:szCs w:val="32"/>
        </w:rPr>
        <w:t>13005.074819</w:t>
      </w:r>
      <w:r>
        <w:rPr>
          <w:rFonts w:hint="eastAsia" w:ascii="仿宋_GB2312" w:hAnsi="仿宋_GB2312" w:eastAsia="仿宋_GB2312" w:cs="仿宋_GB2312"/>
          <w:szCs w:val="32"/>
        </w:rPr>
        <w:t>万元）=89.83%。</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根据评分标准，60%≤预算执行率＜95%，按比例计算得分，得分=（89.83-60%）/（95%-60%）*2=1.71分。</w:t>
      </w:r>
    </w:p>
    <w:p>
      <w:pPr>
        <w:ind w:firstLine="640"/>
        <w:jc w:val="both"/>
      </w:pPr>
      <w:r>
        <w:rPr>
          <w:rFonts w:hint="eastAsia" w:ascii="仿宋_GB2312" w:hAnsi="仿宋_GB2312" w:eastAsia="仿宋_GB2312" w:cs="仿宋_GB2312"/>
          <w:szCs w:val="32"/>
        </w:rPr>
        <w:t>满分2分，得分1.71分，得分率85.5%。</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（3）B1-3 资金使用合规性</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通过查阅项目业务资料和财务材料，了解到项目资金能够按照规定进行发放，资金的拨付有完整的审批程序和手续，资金的使用符合项目预算规定的用途，不存在截留、挤占、挪用、虚列支出的情况。</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满分4分，得分</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100</w:t>
      </w:r>
      <w:r>
        <w:rPr>
          <w:rFonts w:hint="eastAsia" w:ascii="仿宋_GB2312" w:hAnsi="仿宋_GB2312" w:eastAsia="仿宋_GB2312" w:cs="仿宋_GB2312"/>
          <w:szCs w:val="32"/>
        </w:rPr>
        <w:t>%。</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（4）B2-1 管理制度健全性</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评价小组通过查看项目业务资料，发现永济市交通运输局制定了项目管理办法汇编，其中包括：工程管理办法、工程施工现场管理办法、工程质量管理办法、资金管理办法等。但未制定项目后期维护管理制度，根据评分标准扣0.5分。</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满分4分，得分3.5分，得分率87.5%。</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（5）B2-2 制度执行有效性</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评价小组通过核查业务和财务资料，了解到项目实施过程中严格遵守相关法律法规和制度的规定，项目实施流程规范，有相关部门签字；项目经中铁三局集团有限公司编制施工图设计文件，经永济市交通运输局批复，施工单位严格按照施工图及批复执行；对项目施工、监理单位的选择，经过公开招标程序确定，并进行公示。</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永济市交通运输局实施项目过程中存在以下问题：一是与项目三期施工单位签订合同不规范。①项目招标文件显示工期为365日历天，合同签订工期为270日历天/275日历天。②项目三期建设工程共分为4个标段，工期统一为2020年10月20日-2021年7月20日，但一二标段合同签订总工期为270日历天，三四标段合同签订总工期为275日历天。二是项目资料不完整。①项目完成后，永济市交通运输局未及时将交工验收报告等资料收集齐全。②项目交工验收报告上未标明项目开完工时间。三是竣工决算不及时。项目二期工程早于三期工程，三期工程已进行竣工结算审计。但截至报告日，二期工程仍未竣工结算审计。四是项目完成后，永济市交通运输局未编制自评报告。根据评分标准扣4分。</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满分8分，得分4分，得分率50%。</w:t>
      </w:r>
    </w:p>
    <w:p>
      <w:pPr>
        <w:ind w:firstLine="643"/>
        <w:jc w:val="both"/>
        <w:outlineLvl w:val="2"/>
        <w:rPr>
          <w:rFonts w:ascii="仿宋_GB2312" w:hAnsi="仿宋_GB2312" w:eastAsia="仿宋_GB2312" w:cs="仿宋_GB2312"/>
          <w:b/>
          <w:bCs/>
          <w:szCs w:val="32"/>
        </w:rPr>
      </w:pPr>
      <w:r>
        <w:rPr>
          <w:rFonts w:hint="eastAsia" w:ascii="仿宋_GB2312" w:hAnsi="仿宋_GB2312" w:eastAsia="仿宋_GB2312" w:cs="仿宋_GB2312"/>
          <w:b/>
          <w:bCs/>
          <w:szCs w:val="32"/>
        </w:rPr>
        <w:t>3.产出类指标</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项目产出主要评价项目产出数量、产出质量、产出时效、产出成本。产出数量主要评价项目完成率；产出质量主要验收合格率；产出时效主要评价完成及时性；产出成本主要评价成本节约率。产出类指标设计分值30分，综合评价得分22.4分，得分率74.67%。具体得分情况如下表所示：</w:t>
      </w:r>
    </w:p>
    <w:p>
      <w:pPr>
        <w:ind w:firstLine="560"/>
        <w:jc w:val="center"/>
        <w:rPr>
          <w:rFonts w:ascii="黑体" w:hAnsi="黑体" w:eastAsia="黑体" w:cs="黑体"/>
          <w:sz w:val="28"/>
          <w:szCs w:val="28"/>
        </w:rPr>
      </w:pPr>
      <w:r>
        <w:rPr>
          <w:rFonts w:hint="eastAsia" w:ascii="黑体" w:hAnsi="黑体" w:eastAsia="黑体" w:cs="黑体"/>
          <w:sz w:val="28"/>
          <w:szCs w:val="28"/>
        </w:rPr>
        <w:t>表3-4 产出类指标得分情况</w:t>
      </w:r>
    </w:p>
    <w:tbl>
      <w:tblPr>
        <w:tblStyle w:val="15"/>
        <w:tblW w:w="8898" w:type="dxa"/>
        <w:jc w:val="center"/>
        <w:tblLayout w:type="fixed"/>
        <w:tblCellMar>
          <w:top w:w="15" w:type="dxa"/>
          <w:left w:w="15" w:type="dxa"/>
          <w:bottom w:w="15" w:type="dxa"/>
          <w:right w:w="15" w:type="dxa"/>
        </w:tblCellMar>
      </w:tblPr>
      <w:tblGrid>
        <w:gridCol w:w="1385"/>
        <w:gridCol w:w="4425"/>
        <w:gridCol w:w="1064"/>
        <w:gridCol w:w="1005"/>
        <w:gridCol w:w="1019"/>
      </w:tblGrid>
      <w:tr>
        <w:tblPrEx>
          <w:tblCellMar>
            <w:top w:w="15" w:type="dxa"/>
            <w:left w:w="15" w:type="dxa"/>
            <w:bottom w:w="15" w:type="dxa"/>
            <w:right w:w="15" w:type="dxa"/>
          </w:tblCellMar>
        </w:tblPrEx>
        <w:trPr>
          <w:trHeight w:val="425" w:hRule="exact"/>
          <w:jc w:val="center"/>
        </w:trPr>
        <w:tc>
          <w:tcPr>
            <w:tcW w:w="1385"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4425" w:type="dxa"/>
            <w:tcBorders>
              <w:top w:val="single" w:color="000000" w:sz="4" w:space="0"/>
              <w:left w:val="single" w:color="000000" w:sz="4" w:space="0"/>
              <w:bottom w:val="single" w:color="auto" w:sz="4" w:space="0"/>
              <w:right w:val="single" w:color="auto"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064"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00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01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CellMar>
            <w:top w:w="15" w:type="dxa"/>
            <w:left w:w="15" w:type="dxa"/>
            <w:bottom w:w="15" w:type="dxa"/>
            <w:right w:w="15" w:type="dxa"/>
          </w:tblCellMar>
        </w:tblPrEx>
        <w:trPr>
          <w:trHeight w:val="425" w:hRule="exact"/>
          <w:jc w:val="center"/>
        </w:trPr>
        <w:tc>
          <w:tcPr>
            <w:tcW w:w="138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C1产出数量</w:t>
            </w:r>
          </w:p>
        </w:tc>
        <w:tc>
          <w:tcPr>
            <w:tcW w:w="44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C1-1项目完成率</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8.4</w:t>
            </w:r>
          </w:p>
        </w:tc>
        <w:tc>
          <w:tcPr>
            <w:tcW w:w="1019"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70</w:t>
            </w:r>
          </w:p>
        </w:tc>
      </w:tr>
      <w:tr>
        <w:tblPrEx>
          <w:tblCellMar>
            <w:top w:w="15" w:type="dxa"/>
            <w:left w:w="15" w:type="dxa"/>
            <w:bottom w:w="15" w:type="dxa"/>
            <w:right w:w="15" w:type="dxa"/>
          </w:tblCellMar>
        </w:tblPrEx>
        <w:trPr>
          <w:trHeight w:val="425" w:hRule="exact"/>
          <w:jc w:val="center"/>
        </w:trPr>
        <w:tc>
          <w:tcPr>
            <w:tcW w:w="138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C2产出质量</w:t>
            </w:r>
          </w:p>
        </w:tc>
        <w:tc>
          <w:tcPr>
            <w:tcW w:w="4425" w:type="dxa"/>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C2-1验收合格率</w:t>
            </w:r>
          </w:p>
        </w:tc>
        <w:tc>
          <w:tcPr>
            <w:tcW w:w="1064" w:type="dxa"/>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05" w:type="dxa"/>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019"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80</w:t>
            </w:r>
          </w:p>
        </w:tc>
      </w:tr>
      <w:tr>
        <w:tblPrEx>
          <w:tblCellMar>
            <w:top w:w="15" w:type="dxa"/>
            <w:left w:w="15" w:type="dxa"/>
            <w:bottom w:w="15" w:type="dxa"/>
            <w:right w:w="15" w:type="dxa"/>
          </w:tblCellMar>
        </w:tblPrEx>
        <w:trPr>
          <w:trHeight w:val="425" w:hRule="exact"/>
          <w:jc w:val="center"/>
        </w:trPr>
        <w:tc>
          <w:tcPr>
            <w:tcW w:w="138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C3产出时效</w:t>
            </w:r>
          </w:p>
        </w:tc>
        <w:tc>
          <w:tcPr>
            <w:tcW w:w="44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C3-1完成及时性</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19"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w:t>
            </w:r>
          </w:p>
        </w:tc>
      </w:tr>
      <w:tr>
        <w:tblPrEx>
          <w:tblCellMar>
            <w:top w:w="15" w:type="dxa"/>
            <w:left w:w="15" w:type="dxa"/>
            <w:bottom w:w="15" w:type="dxa"/>
            <w:right w:w="15" w:type="dxa"/>
          </w:tblCellMar>
        </w:tblPrEx>
        <w:trPr>
          <w:trHeight w:val="425" w:hRule="exact"/>
          <w:jc w:val="center"/>
        </w:trPr>
        <w:tc>
          <w:tcPr>
            <w:tcW w:w="1385" w:type="dxa"/>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C4产出成本</w:t>
            </w:r>
          </w:p>
        </w:tc>
        <w:tc>
          <w:tcPr>
            <w:tcW w:w="44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C4-1成本节约率</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19"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25" w:hRule="exact"/>
          <w:jc w:val="center"/>
        </w:trPr>
        <w:tc>
          <w:tcPr>
            <w:tcW w:w="5810"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一级指标产出类合计</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30</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22.4</w:t>
            </w:r>
          </w:p>
        </w:tc>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74.67</w:t>
            </w:r>
          </w:p>
        </w:tc>
      </w:tr>
    </w:tbl>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（1）C1-1项目完成率</w:t>
      </w:r>
    </w:p>
    <w:tbl>
      <w:tblPr>
        <w:tblStyle w:val="16"/>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2742"/>
        <w:gridCol w:w="2820"/>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286" w:type="dxa"/>
            <w:shd w:val="clear" w:color="auto" w:fill="BEBEBE" w:themeFill="background1" w:themeFillShade="BF"/>
            <w:vAlign w:val="center"/>
          </w:tcPr>
          <w:p>
            <w:pPr>
              <w:ind w:firstLine="0" w:firstLineChars="0"/>
              <w:jc w:val="center"/>
              <w:rPr>
                <w:rFonts w:ascii="宋体" w:hAnsi="宋体" w:eastAsia="宋体" w:cs="宋体"/>
                <w:b/>
                <w:bCs/>
                <w:sz w:val="21"/>
                <w:szCs w:val="21"/>
              </w:rPr>
            </w:pPr>
            <w:r>
              <w:rPr>
                <w:rFonts w:hint="eastAsia" w:ascii="宋体" w:hAnsi="宋体" w:eastAsia="宋体" w:cs="宋体"/>
                <w:b/>
                <w:bCs/>
                <w:sz w:val="21"/>
                <w:szCs w:val="21"/>
              </w:rPr>
              <w:t>项目标段</w:t>
            </w:r>
          </w:p>
        </w:tc>
        <w:tc>
          <w:tcPr>
            <w:tcW w:w="2742" w:type="dxa"/>
            <w:shd w:val="clear" w:color="auto" w:fill="BEBEBE" w:themeFill="background1" w:themeFillShade="BF"/>
            <w:vAlign w:val="center"/>
          </w:tcPr>
          <w:p>
            <w:pPr>
              <w:ind w:firstLine="0" w:firstLineChars="0"/>
              <w:jc w:val="center"/>
              <w:rPr>
                <w:rFonts w:ascii="宋体" w:hAnsi="宋体" w:eastAsia="宋体" w:cs="宋体"/>
                <w:b/>
                <w:bCs/>
                <w:sz w:val="21"/>
                <w:szCs w:val="21"/>
              </w:rPr>
            </w:pPr>
            <w:r>
              <w:rPr>
                <w:rFonts w:hint="eastAsia" w:ascii="宋体" w:hAnsi="宋体" w:eastAsia="宋体" w:cs="宋体"/>
                <w:b/>
                <w:bCs/>
                <w:sz w:val="21"/>
                <w:szCs w:val="21"/>
              </w:rPr>
              <w:t>计划数</w:t>
            </w:r>
          </w:p>
        </w:tc>
        <w:tc>
          <w:tcPr>
            <w:tcW w:w="2820" w:type="dxa"/>
            <w:shd w:val="clear" w:color="auto" w:fill="BEBEBE" w:themeFill="background1" w:themeFillShade="BF"/>
            <w:vAlign w:val="center"/>
          </w:tcPr>
          <w:p>
            <w:pPr>
              <w:ind w:firstLine="0" w:firstLineChars="0"/>
              <w:jc w:val="center"/>
              <w:rPr>
                <w:rFonts w:ascii="宋体" w:hAnsi="宋体" w:eastAsia="宋体" w:cs="宋体"/>
                <w:b/>
                <w:bCs/>
                <w:sz w:val="21"/>
                <w:szCs w:val="21"/>
              </w:rPr>
            </w:pPr>
            <w:r>
              <w:rPr>
                <w:rFonts w:hint="eastAsia" w:ascii="宋体" w:hAnsi="宋体" w:eastAsia="宋体" w:cs="宋体"/>
                <w:b/>
                <w:bCs/>
                <w:sz w:val="21"/>
                <w:szCs w:val="21"/>
              </w:rPr>
              <w:t>实际数</w:t>
            </w:r>
          </w:p>
        </w:tc>
        <w:tc>
          <w:tcPr>
            <w:tcW w:w="1061" w:type="dxa"/>
            <w:shd w:val="clear" w:color="auto" w:fill="BEBEBE" w:themeFill="background1" w:themeFillShade="BF"/>
            <w:vAlign w:val="center"/>
          </w:tcPr>
          <w:p>
            <w:pPr>
              <w:ind w:firstLine="0" w:firstLineChars="0"/>
              <w:jc w:val="center"/>
              <w:rPr>
                <w:rFonts w:ascii="宋体" w:hAnsi="宋体" w:eastAsia="宋体" w:cs="宋体"/>
                <w:b/>
                <w:bCs/>
                <w:sz w:val="21"/>
                <w:szCs w:val="21"/>
              </w:rPr>
            </w:pPr>
            <w:r>
              <w:rPr>
                <w:rFonts w:hint="eastAsia" w:ascii="宋体" w:hAnsi="宋体" w:eastAsia="宋体" w:cs="宋体"/>
                <w:b/>
                <w:bCs/>
                <w:sz w:val="21"/>
                <w:szCs w:val="21"/>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286"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张营至文学段</w:t>
            </w:r>
          </w:p>
        </w:tc>
        <w:tc>
          <w:tcPr>
            <w:tcW w:w="2742"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道路长17.178千米。</w:t>
            </w:r>
          </w:p>
        </w:tc>
        <w:tc>
          <w:tcPr>
            <w:tcW w:w="2820"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道路长17.178千米。</w:t>
            </w:r>
          </w:p>
        </w:tc>
        <w:tc>
          <w:tcPr>
            <w:tcW w:w="1061" w:type="dxa"/>
            <w:vAlign w:val="center"/>
          </w:tcPr>
          <w:p>
            <w:pPr>
              <w:ind w:firstLine="0" w:firstLineChars="0"/>
              <w:jc w:val="center"/>
              <w:rPr>
                <w:rFonts w:ascii="宋体" w:hAnsi="宋体" w:eastAsia="宋体" w:cs="宋体"/>
                <w:sz w:val="21"/>
                <w:szCs w:val="21"/>
              </w:rPr>
            </w:pPr>
            <w:r>
              <w:rPr>
                <w:rFonts w:hint="eastAsia" w:ascii="宋体" w:hAnsi="宋体" w:eastAsia="宋体"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286"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杨马至万固寺段</w:t>
            </w:r>
          </w:p>
        </w:tc>
        <w:tc>
          <w:tcPr>
            <w:tcW w:w="2742"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道路长3.27千米。</w:t>
            </w:r>
          </w:p>
        </w:tc>
        <w:tc>
          <w:tcPr>
            <w:tcW w:w="2820"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道路长3.27千米。</w:t>
            </w:r>
          </w:p>
        </w:tc>
        <w:tc>
          <w:tcPr>
            <w:tcW w:w="1061" w:type="dxa"/>
            <w:vAlign w:val="center"/>
          </w:tcPr>
          <w:p>
            <w:pPr>
              <w:ind w:firstLine="0" w:firstLineChars="0"/>
              <w:jc w:val="center"/>
              <w:rPr>
                <w:rFonts w:ascii="宋体" w:hAnsi="宋体" w:eastAsia="宋体" w:cs="宋体"/>
                <w:sz w:val="21"/>
                <w:szCs w:val="21"/>
              </w:rPr>
            </w:pPr>
            <w:r>
              <w:rPr>
                <w:rFonts w:hint="eastAsia" w:ascii="宋体" w:hAnsi="宋体" w:eastAsia="宋体"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286"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西敬庄至张营段</w:t>
            </w:r>
          </w:p>
        </w:tc>
        <w:tc>
          <w:tcPr>
            <w:tcW w:w="2742"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道路长6.227千米。</w:t>
            </w:r>
          </w:p>
        </w:tc>
        <w:tc>
          <w:tcPr>
            <w:tcW w:w="2820"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道路长6.15千米。</w:t>
            </w:r>
          </w:p>
        </w:tc>
        <w:tc>
          <w:tcPr>
            <w:tcW w:w="1061" w:type="dxa"/>
            <w:vAlign w:val="center"/>
          </w:tcPr>
          <w:p>
            <w:pPr>
              <w:ind w:firstLine="0" w:firstLineChars="0"/>
              <w:jc w:val="center"/>
              <w:rPr>
                <w:rFonts w:ascii="宋体" w:hAnsi="宋体" w:eastAsia="宋体" w:cs="宋体"/>
                <w:sz w:val="21"/>
                <w:szCs w:val="21"/>
              </w:rPr>
            </w:pPr>
            <w:r>
              <w:rPr>
                <w:rFonts w:hint="eastAsia" w:ascii="宋体" w:hAnsi="宋体" w:eastAsia="宋体" w:cs="宋体"/>
                <w:sz w:val="21"/>
                <w:szCs w:val="21"/>
              </w:rPr>
              <w:t>98.76%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286"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雪花山至万固寺东段（一标）</w:t>
            </w:r>
          </w:p>
        </w:tc>
        <w:tc>
          <w:tcPr>
            <w:tcW w:w="2742"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道路长4.725千米。</w:t>
            </w:r>
          </w:p>
        </w:tc>
        <w:tc>
          <w:tcPr>
            <w:tcW w:w="2820"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道路长4.725千米。</w:t>
            </w:r>
          </w:p>
        </w:tc>
        <w:tc>
          <w:tcPr>
            <w:tcW w:w="1061" w:type="dxa"/>
            <w:vAlign w:val="center"/>
          </w:tcPr>
          <w:p>
            <w:pPr>
              <w:ind w:firstLine="0" w:firstLineChars="0"/>
              <w:jc w:val="center"/>
              <w:rPr>
                <w:rFonts w:ascii="宋体" w:hAnsi="宋体" w:eastAsia="宋体" w:cs="宋体"/>
                <w:sz w:val="21"/>
                <w:szCs w:val="21"/>
              </w:rPr>
            </w:pPr>
            <w:r>
              <w:rPr>
                <w:rFonts w:hint="eastAsia" w:ascii="宋体" w:hAnsi="宋体" w:eastAsia="宋体"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286"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雪花山至万固寺东段（二标）</w:t>
            </w:r>
          </w:p>
        </w:tc>
        <w:tc>
          <w:tcPr>
            <w:tcW w:w="2742"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道路长4.739千米。</w:t>
            </w:r>
          </w:p>
        </w:tc>
        <w:tc>
          <w:tcPr>
            <w:tcW w:w="2820"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道路长4.739千米。</w:t>
            </w:r>
          </w:p>
        </w:tc>
        <w:tc>
          <w:tcPr>
            <w:tcW w:w="1061" w:type="dxa"/>
            <w:vAlign w:val="center"/>
          </w:tcPr>
          <w:p>
            <w:pPr>
              <w:ind w:firstLine="0" w:firstLineChars="0"/>
              <w:jc w:val="center"/>
              <w:rPr>
                <w:rFonts w:ascii="宋体" w:hAnsi="宋体" w:eastAsia="宋体" w:cs="宋体"/>
                <w:sz w:val="21"/>
                <w:szCs w:val="21"/>
              </w:rPr>
            </w:pPr>
            <w:r>
              <w:rPr>
                <w:rFonts w:hint="eastAsia" w:ascii="宋体" w:hAnsi="宋体" w:eastAsia="宋体"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286"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安保</w:t>
            </w:r>
          </w:p>
        </w:tc>
        <w:tc>
          <w:tcPr>
            <w:tcW w:w="2742"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波形护栏16460米、交通标志144块、交通标线8838.3平方米、里程碑20个、百米桩185个。</w:t>
            </w:r>
          </w:p>
        </w:tc>
        <w:tc>
          <w:tcPr>
            <w:tcW w:w="2820"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波形护栏13090米、交通标志144块、交通标线7535.05平方米。</w:t>
            </w:r>
          </w:p>
        </w:tc>
        <w:tc>
          <w:tcPr>
            <w:tcW w:w="1061" w:type="dxa"/>
            <w:vAlign w:val="center"/>
          </w:tcPr>
          <w:p>
            <w:pPr>
              <w:ind w:firstLine="0" w:firstLineChars="0"/>
              <w:jc w:val="center"/>
              <w:rPr>
                <w:rFonts w:ascii="宋体" w:hAnsi="宋体" w:eastAsia="宋体" w:cs="宋体"/>
                <w:sz w:val="21"/>
                <w:szCs w:val="21"/>
              </w:rPr>
            </w:pPr>
            <w:r>
              <w:rPr>
                <w:rFonts w:hint="eastAsia" w:ascii="宋体" w:hAnsi="宋体" w:eastAsia="宋体" w:cs="宋体"/>
                <w:sz w:val="21"/>
                <w:szCs w:val="21"/>
              </w:rPr>
              <w:t>20%</w:t>
            </w:r>
          </w:p>
        </w:tc>
      </w:tr>
    </w:tbl>
    <w:p>
      <w:pPr>
        <w:ind w:firstLine="640"/>
        <w:jc w:val="both"/>
        <w:rPr>
          <w:rFonts w:ascii="黑体" w:hAnsi="黑体" w:eastAsia="仿宋_GB2312" w:cs="黑体"/>
          <w:sz w:val="28"/>
          <w:szCs w:val="28"/>
        </w:rPr>
      </w:pPr>
      <w:r>
        <w:rPr>
          <w:rFonts w:hint="eastAsia" w:ascii="仿宋_GB2312" w:hAnsi="仿宋_GB2312" w:eastAsia="仿宋_GB2312" w:cs="仿宋_GB2312"/>
          <w:szCs w:val="32"/>
        </w:rPr>
        <w:t>通过核查项目业务资料，评价组了解到，西敬庄至张营段道路建设工程和安保工程未按计划完成，但未发现项目变更支撑依据。根据评分标准扣3.6分。</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满分12分，得分8.4分，得分率70%。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（2）C2-1验收合格率</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通过核查项目业务资料，评价组了解到，项目完成后，由项目施工单位、监理单位、设计单位及实施单位共同盖章签字，同意工程交工。项目道路工程由山西汇鼎建设工程质量检测有限公司对项目质量进行检测，检测结果为合格。未发现安保项目质量检测报告，无法进行评价。根据评分标准扣2分。</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满分10分，得分8分，得分率80%。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（3）C3-1完成及时性</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通过核查项目业务资料，评价组了解到，项目工程共分为二期和三期，二期工程合同签订工期为2019年12月1日-2020年11月30日，三期工程合同签订工期为2020年10月20日-2021年7月20日。根据2019年12月9日永济市交通运输局《关于永济市沿黄旅游公路改建工程施工许可的批复》（永交发〔2019〕115号）、2020年10月20日永济市交通运输局《关于永济市沿黄旅游公路改建工程施工许可的批复》（永交发〔2020〕107、108、109号）文件精神，同意项目开工建设。但项目交工报告上未标明项目开完工日期，评价人员无法对项目是否在规定时间内完工进行评价。根据评分标准扣2分。</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满分4分，得分2分，得分率50%。</w:t>
      </w:r>
    </w:p>
    <w:p>
      <w:pPr>
        <w:ind w:left="640" w:leftChars="200" w:firstLine="0" w:firstLineChars="0"/>
        <w:jc w:val="both"/>
        <w:rPr>
          <w:rFonts w:ascii="仿宋_GB2312" w:hAnsi="仿宋_GB2312" w:eastAsia="仿宋_GB2312" w:cs="仿宋_GB2312"/>
          <w:szCs w:val="32"/>
        </w:rPr>
      </w:pPr>
      <w:r>
        <w:rPr>
          <w:rFonts w:hint="eastAsia" w:ascii="仿宋_GB2312" w:hAnsi="仿宋_GB2312" w:eastAsia="仿宋_GB2312" w:cs="仿宋_GB2312"/>
          <w:szCs w:val="32"/>
        </w:rPr>
        <w:t>（4）C4-1成本节约率</w:t>
      </w:r>
      <w:r>
        <w:rPr>
          <w:rFonts w:ascii="仿宋_GB2312" w:hAnsi="仿宋_GB2312" w:eastAsia="仿宋_GB2312" w:cs="仿宋_GB2312"/>
          <w:szCs w:val="32"/>
        </w:rPr>
        <w:t xml:space="preserve"> </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通过核查项目业务和财务资料，截至审计报告日，项目支出未超预算。</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满分4分，得分4分，得分率100%。</w:t>
      </w:r>
    </w:p>
    <w:p>
      <w:pPr>
        <w:ind w:firstLine="643"/>
        <w:jc w:val="both"/>
        <w:outlineLvl w:val="2"/>
        <w:rPr>
          <w:rFonts w:ascii="仿宋_GB2312" w:hAnsi="仿宋_GB2312" w:eastAsia="仿宋_GB2312" w:cs="仿宋_GB2312"/>
          <w:b/>
          <w:bCs/>
          <w:szCs w:val="32"/>
        </w:rPr>
      </w:pPr>
      <w:r>
        <w:rPr>
          <w:rFonts w:hint="eastAsia" w:ascii="仿宋_GB2312" w:hAnsi="仿宋_GB2312" w:eastAsia="仿宋_GB2312" w:cs="仿宋_GB2312"/>
          <w:b/>
          <w:bCs/>
          <w:szCs w:val="32"/>
        </w:rPr>
        <w:t>4.效益类指标</w:t>
      </w:r>
    </w:p>
    <w:p>
      <w:pPr>
        <w:pStyle w:val="19"/>
        <w:ind w:left="0" w:leftChars="0" w:firstLine="640"/>
        <w:jc w:val="left"/>
      </w:pPr>
      <w:r>
        <w:rPr>
          <w:rFonts w:hint="eastAsia" w:ascii="仿宋_GB2312" w:hAnsi="仿宋_GB2312" w:eastAsia="仿宋_GB2312" w:cs="仿宋_GB2312"/>
          <w:szCs w:val="32"/>
        </w:rPr>
        <w:t>项目效益类主要评价项目社会效益、经济效益、生态效益、可持续影响、满意度。社会效益主要评价改善交通路网情况；经济效益主要评价促进经济发展；生态效益主要评价美化环境；可持续影响主要评价可持续利用性；满意度主要评价受益对象满意度。效益类指标设计分值30分，综合评价得分26.42分，得分率88.07%。具体得分情况如下表所示：</w:t>
      </w:r>
    </w:p>
    <w:p>
      <w:pPr>
        <w:ind w:firstLine="560"/>
        <w:jc w:val="center"/>
        <w:rPr>
          <w:rFonts w:ascii="黑体" w:hAnsi="黑体" w:eastAsia="黑体" w:cs="黑体"/>
          <w:sz w:val="28"/>
          <w:szCs w:val="28"/>
        </w:rPr>
      </w:pPr>
      <w:r>
        <w:rPr>
          <w:rFonts w:hint="eastAsia" w:ascii="黑体" w:hAnsi="黑体" w:eastAsia="黑体" w:cs="黑体"/>
          <w:sz w:val="28"/>
          <w:szCs w:val="28"/>
        </w:rPr>
        <w:t>表3-5效益类指标得分情况</w:t>
      </w:r>
    </w:p>
    <w:tbl>
      <w:tblPr>
        <w:tblStyle w:val="15"/>
        <w:tblW w:w="8862" w:type="dxa"/>
        <w:jc w:val="center"/>
        <w:tblLayout w:type="fixed"/>
        <w:tblCellMar>
          <w:top w:w="15" w:type="dxa"/>
          <w:left w:w="15" w:type="dxa"/>
          <w:bottom w:w="15" w:type="dxa"/>
          <w:right w:w="15" w:type="dxa"/>
        </w:tblCellMar>
      </w:tblPr>
      <w:tblGrid>
        <w:gridCol w:w="1731"/>
        <w:gridCol w:w="3943"/>
        <w:gridCol w:w="1035"/>
        <w:gridCol w:w="1063"/>
        <w:gridCol w:w="1090"/>
      </w:tblGrid>
      <w:tr>
        <w:tblPrEx>
          <w:tblCellMar>
            <w:top w:w="15" w:type="dxa"/>
            <w:left w:w="15" w:type="dxa"/>
            <w:bottom w:w="15" w:type="dxa"/>
            <w:right w:w="15" w:type="dxa"/>
          </w:tblCellMar>
        </w:tblPrEx>
        <w:trPr>
          <w:trHeight w:val="454" w:hRule="exact"/>
          <w:jc w:val="center"/>
        </w:trPr>
        <w:tc>
          <w:tcPr>
            <w:tcW w:w="1731"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3943" w:type="dxa"/>
            <w:tcBorders>
              <w:top w:val="single" w:color="000000" w:sz="4" w:space="0"/>
              <w:left w:val="single" w:color="000000" w:sz="4" w:space="0"/>
              <w:bottom w:val="single" w:color="auto" w:sz="4" w:space="0"/>
              <w:right w:val="single" w:color="auto"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035" w:type="dxa"/>
            <w:tcBorders>
              <w:top w:val="single" w:color="000000" w:sz="4" w:space="0"/>
              <w:left w:val="single" w:color="auto"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06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09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D1社会效益</w:t>
            </w: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D1-1改善交通路网情况</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D2经济效益</w:t>
            </w: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D2-1促进经济发展</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D3生态效益</w:t>
            </w: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D3-1美化环境</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D4可持续影响</w:t>
            </w: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D4-1可持续利用性</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w:t>
            </w:r>
          </w:p>
        </w:tc>
      </w:tr>
      <w:tr>
        <w:tblPrEx>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D5满意度</w:t>
            </w: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D5-1受益对象满意度</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8.42</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84.2</w:t>
            </w:r>
          </w:p>
        </w:tc>
      </w:tr>
      <w:tr>
        <w:tblPrEx>
          <w:tblCellMar>
            <w:top w:w="15" w:type="dxa"/>
            <w:left w:w="15" w:type="dxa"/>
            <w:bottom w:w="15" w:type="dxa"/>
            <w:right w:w="15" w:type="dxa"/>
          </w:tblCellMar>
        </w:tblPrEx>
        <w:trPr>
          <w:trHeight w:val="454" w:hRule="exact"/>
          <w:jc w:val="center"/>
        </w:trPr>
        <w:tc>
          <w:tcPr>
            <w:tcW w:w="5674"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一级指标效益类合计</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30</w:t>
            </w:r>
          </w:p>
        </w:tc>
        <w:tc>
          <w:tcPr>
            <w:tcW w:w="106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26.42</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88.07</w:t>
            </w:r>
          </w:p>
        </w:tc>
      </w:tr>
    </w:tbl>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（1）D1-1改善交通路网情况</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项目涉及万固寺、雪花山等多个旅游景点。项目实施前，永济市现有的沿黄公路整体等级不高，路面破损情况严重，存在极大的道路安全隐患，造成沿黄区域很多景点难以到达，也成为制约当地旅游业发展的重要因素。项目建成后，可以串联永济市点状旅游景点，将点状旅游资源向带状旅游资源发展，进一步与永济市其他旅游资源形成“全域旅游”的发展模式，形成“公路+旅游”的标志性工程。</w:t>
      </w:r>
    </w:p>
    <w:p>
      <w:pPr>
        <w:ind w:firstLine="600" w:firstLineChars="0"/>
        <w:rPr>
          <w:rFonts w:ascii="仿宋_GB2312" w:hAnsi="仿宋_GB2312" w:eastAsia="仿宋_GB2312" w:cs="仿宋_GB2312"/>
          <w:szCs w:val="32"/>
        </w:rPr>
      </w:pPr>
      <w:r>
        <w:rPr>
          <w:rFonts w:hint="eastAsia" w:ascii="仿宋_GB2312" w:hAnsi="仿宋_GB2312" w:eastAsia="仿宋_GB2312" w:cs="仿宋_GB2312"/>
          <w:szCs w:val="32"/>
        </w:rPr>
        <w:t>满分5分，得分5分，得分率100%。</w:t>
      </w:r>
    </w:p>
    <w:p>
      <w:pPr>
        <w:pStyle w:val="19"/>
        <w:ind w:left="0" w:leftChars="0" w:firstLine="640"/>
        <w:jc w:val="left"/>
        <w:rPr>
          <w:rFonts w:ascii="仿宋_GB2312" w:hAnsi="仿宋_GB2312" w:eastAsia="仿宋_GB2312" w:cs="仿宋_GB2312"/>
          <w:szCs w:val="32"/>
        </w:rPr>
      </w:pPr>
      <w:r>
        <w:rPr>
          <w:rFonts w:ascii="仿宋_GB2312" w:hAnsi="仿宋_GB2312" w:eastAsia="仿宋_GB2312" w:cs="仿宋_GB2312"/>
          <w:szCs w:val="32"/>
        </w:rPr>
        <w:t>（</w:t>
      </w:r>
      <w:r>
        <w:rPr>
          <w:rFonts w:hint="eastAsia" w:ascii="仿宋_GB2312" w:hAnsi="仿宋_GB2312" w:eastAsia="仿宋_GB2312" w:cs="仿宋_GB2312"/>
          <w:szCs w:val="32"/>
        </w:rPr>
        <w:t>2</w:t>
      </w:r>
      <w:r>
        <w:rPr>
          <w:rFonts w:ascii="仿宋_GB2312" w:hAnsi="仿宋_GB2312" w:eastAsia="仿宋_GB2312" w:cs="仿宋_GB2312"/>
          <w:szCs w:val="32"/>
        </w:rPr>
        <w:t>）D</w:t>
      </w:r>
      <w:r>
        <w:rPr>
          <w:rFonts w:hint="eastAsia" w:ascii="仿宋_GB2312" w:hAnsi="仿宋_GB2312" w:eastAsia="仿宋_GB2312" w:cs="仿宋_GB2312"/>
          <w:szCs w:val="32"/>
        </w:rPr>
        <w:t>2</w:t>
      </w:r>
      <w:r>
        <w:rPr>
          <w:rFonts w:ascii="仿宋_GB2312" w:hAnsi="仿宋_GB2312" w:eastAsia="仿宋_GB2312" w:cs="仿宋_GB2312"/>
          <w:szCs w:val="32"/>
        </w:rPr>
        <w:t>-</w:t>
      </w:r>
      <w:r>
        <w:rPr>
          <w:rFonts w:hint="eastAsia" w:ascii="仿宋_GB2312" w:hAnsi="仿宋_GB2312" w:eastAsia="仿宋_GB2312" w:cs="仿宋_GB2312"/>
          <w:szCs w:val="32"/>
        </w:rPr>
        <w:t>1促进经济发展</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项目实施后，有效提升永济沿黄旅游品质，使游客可以直接面对当地老百姓的农副产品，实现农副产品产地到客户的直接转变，减少物流等中间商环节，进一步提升沿线人口收入；同时加快农户与客商的互联互通，促进农副产品畅销外运，提升农民收入。另外，可进一步开发乡村旅游的热潮，沿线乡村通过开发农家乐、客栈等，提高旅游收入，促进当地经济的发展。</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满分5分，得分5分，得分率100%。</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（3）</w:t>
      </w:r>
      <w:r>
        <w:rPr>
          <w:rFonts w:ascii="仿宋_GB2312" w:hAnsi="仿宋_GB2312" w:eastAsia="仿宋_GB2312" w:cs="仿宋_GB2312"/>
          <w:szCs w:val="32"/>
        </w:rPr>
        <w:t>D</w:t>
      </w:r>
      <w:r>
        <w:rPr>
          <w:rFonts w:hint="eastAsia" w:ascii="仿宋_GB2312" w:hAnsi="仿宋_GB2312" w:eastAsia="仿宋_GB2312" w:cs="仿宋_GB2312"/>
          <w:szCs w:val="32"/>
        </w:rPr>
        <w:t>3</w:t>
      </w:r>
      <w:r>
        <w:rPr>
          <w:rFonts w:ascii="仿宋_GB2312" w:hAnsi="仿宋_GB2312" w:eastAsia="仿宋_GB2312" w:cs="仿宋_GB2312"/>
          <w:szCs w:val="32"/>
        </w:rPr>
        <w:t>-</w:t>
      </w:r>
      <w:r>
        <w:rPr>
          <w:rFonts w:hint="eastAsia" w:ascii="仿宋_GB2312" w:hAnsi="仿宋_GB2312" w:eastAsia="仿宋_GB2312" w:cs="仿宋_GB2312"/>
          <w:szCs w:val="32"/>
        </w:rPr>
        <w:t>1美化环境</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项目实施后，道路基础设施得到了改善，减少扬尘；同时，路边进行绿化、园林建设，项目以“畅、安、舒、美”为重点，打造绿色和自然风景线，大大提升黄河旅游1号公路周边环境的美观性，提高观赏价值，使人们在行车过程中心情舒畅，减少行车中的枯燥、乏味感。</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满分5分，得分5分，得分率100%。</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（4）D4-1可持续利用性</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项目实施后，优化了永济市道路交通布局，串联永济市点状旅游景点，将点状旅游资源向带状旅游资源发展，促进全域旅游发展，促进省旅游业发展。</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永济市交通运输局未提供项目后期维护管理制度，根据评分标准，扣2分。</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满分5分，得分3分，得分率60%。</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（5）D5-1受益对象满意度</w:t>
      </w:r>
    </w:p>
    <w:p>
      <w:pPr>
        <w:pStyle w:val="19"/>
        <w:ind w:left="0" w:leftChars="0" w:firstLine="640"/>
        <w:jc w:val="left"/>
        <w:rPr>
          <w:rFonts w:ascii="仿宋_GB2312" w:hAnsi="仿宋_GB2312" w:eastAsia="仿宋_GB2312" w:cs="仿宋_GB2312"/>
          <w:color w:val="0000FF"/>
          <w:szCs w:val="32"/>
        </w:rPr>
      </w:pPr>
      <w:r>
        <w:rPr>
          <w:rFonts w:hint="eastAsia" w:ascii="仿宋_GB2312" w:hAnsi="仿宋_GB2312" w:eastAsia="仿宋_GB2312" w:cs="仿宋_GB2312"/>
          <w:szCs w:val="32"/>
        </w:rPr>
        <w:t>为更好更全面的了解群众满意度，评价人员通过现场发放问卷的方式，共发放问卷50份，收回有效问卷49份，统计得出受益对象平均满意度为90.31%，详见附件5。根据评分标准，60%≤满意度＜96%，得分=10*（90.31%-60%）/（96%-60%）=8.42分。</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满分10分，得分8.42分，得分率84.2%。</w:t>
      </w:r>
    </w:p>
    <w:p>
      <w:pPr>
        <w:pStyle w:val="5"/>
        <w:ind w:firstLine="640"/>
        <w:rPr>
          <w:b w:val="0"/>
          <w:bCs/>
        </w:rPr>
      </w:pPr>
      <w:bookmarkStart w:id="126" w:name="_Toc6448"/>
      <w:bookmarkStart w:id="127" w:name="_Toc18751"/>
      <w:r>
        <w:rPr>
          <w:rFonts w:hint="eastAsia"/>
          <w:b w:val="0"/>
          <w:bCs/>
        </w:rPr>
        <w:t>四、主要经验与做法</w:t>
      </w:r>
      <w:bookmarkEnd w:id="126"/>
      <w:bookmarkEnd w:id="127"/>
    </w:p>
    <w:p>
      <w:pPr>
        <w:ind w:firstLine="643"/>
        <w:rPr>
          <w:rFonts w:ascii="Arial" w:hAnsi="Arial" w:eastAsia="楷体" w:cstheme="minorBidi"/>
          <w:b/>
        </w:rPr>
      </w:pPr>
      <w:bookmarkStart w:id="128" w:name="_Toc3382"/>
      <w:r>
        <w:rPr>
          <w:rFonts w:hint="eastAsia" w:ascii="Arial" w:hAnsi="Arial" w:eastAsia="楷体" w:cstheme="minorBidi"/>
          <w:b/>
        </w:rPr>
        <w:t>（一）</w:t>
      </w:r>
      <w:bookmarkEnd w:id="128"/>
      <w:bookmarkStart w:id="129" w:name="_Toc18449"/>
      <w:r>
        <w:rPr>
          <w:rFonts w:hint="eastAsia" w:ascii="Arial" w:hAnsi="Arial" w:eastAsia="楷体" w:cstheme="minorBidi"/>
          <w:b/>
        </w:rPr>
        <w:t>规范建设，严格管理</w:t>
      </w:r>
      <w:bookmarkEnd w:id="129"/>
    </w:p>
    <w:p>
      <w:pPr>
        <w:ind w:firstLine="640"/>
        <w:rPr>
          <w:rFonts w:ascii="仿宋_GB2312" w:hAnsi="仿宋_GB2312" w:eastAsia="仿宋_GB2312" w:cs="仿宋_GB2312"/>
          <w:szCs w:val="32"/>
        </w:rPr>
      </w:pPr>
      <w:r>
        <w:rPr>
          <w:rFonts w:hint="eastAsia" w:ascii="仿宋_GB2312" w:hAnsi="仿宋_GB2312" w:eastAsia="仿宋_GB2312" w:cs="仿宋_GB2312"/>
          <w:szCs w:val="32"/>
        </w:rPr>
        <w:t>永济市交通运输局成立了永济沿黄旅游公路改建工程项目指挥部，明确了各人员的工作职责及分工，严格按照项目相关管理规定执行，促进项目规范建设。</w:t>
      </w:r>
    </w:p>
    <w:p>
      <w:pPr>
        <w:ind w:firstLine="643"/>
      </w:pPr>
      <w:bookmarkStart w:id="130" w:name="_Toc16235"/>
      <w:r>
        <w:rPr>
          <w:rFonts w:hint="eastAsia" w:ascii="Arial" w:hAnsi="Arial" w:eastAsia="楷体" w:cstheme="minorBidi"/>
          <w:b/>
        </w:rPr>
        <w:t>（二）强化监管，确保质量</w:t>
      </w:r>
      <w:bookmarkEnd w:id="130"/>
    </w:p>
    <w:p>
      <w:pPr>
        <w:ind w:firstLine="640"/>
        <w:rPr>
          <w:rFonts w:ascii="仿宋_GB2312" w:hAnsi="仿宋_GB2312" w:eastAsia="仿宋_GB2312" w:cs="仿宋_GB2312"/>
          <w:szCs w:val="32"/>
        </w:rPr>
      </w:pPr>
      <w:r>
        <w:rPr>
          <w:rFonts w:hint="eastAsia" w:ascii="仿宋_GB2312" w:hAnsi="仿宋_GB2312" w:eastAsia="仿宋_GB2312" w:cs="仿宋_GB2312"/>
          <w:szCs w:val="32"/>
        </w:rPr>
        <w:t>永济市交通运输局为该项目聘请了监理单位，监理单位严格按照相关政策要求，对项目质量、施工单位的安全生产情况进行全程监督把控，对发现的问题及时进行处理并记录。同时，项目指挥部中负责监督检查监理工作的人员应全面考核和评价监理工作，确保项目质量。</w:t>
      </w:r>
    </w:p>
    <w:p>
      <w:pPr>
        <w:pStyle w:val="5"/>
        <w:ind w:firstLine="640"/>
        <w:rPr>
          <w:b w:val="0"/>
          <w:bCs/>
        </w:rPr>
      </w:pPr>
      <w:bookmarkStart w:id="131" w:name="_Toc20754"/>
      <w:bookmarkStart w:id="132" w:name="_Toc27913"/>
      <w:r>
        <w:rPr>
          <w:rFonts w:hint="eastAsia"/>
          <w:b w:val="0"/>
          <w:bCs/>
        </w:rPr>
        <w:t>五、存在的问题</w:t>
      </w:r>
      <w:bookmarkEnd w:id="131"/>
      <w:bookmarkEnd w:id="132"/>
    </w:p>
    <w:p>
      <w:pPr>
        <w:ind w:firstLine="643"/>
        <w:rPr>
          <w:rFonts w:eastAsia="楷体"/>
        </w:rPr>
      </w:pPr>
      <w:r>
        <w:rPr>
          <w:rFonts w:hint="eastAsia" w:ascii="Arial" w:hAnsi="Arial" w:eastAsia="楷体" w:cstheme="minorBidi"/>
          <w:b/>
        </w:rPr>
        <w:t>（一）合同签订不规范</w:t>
      </w:r>
    </w:p>
    <w:p>
      <w:pPr>
        <w:ind w:firstLine="640"/>
        <w:jc w:val="both"/>
        <w:rPr>
          <w:rFonts w:ascii="仿宋_GB2312" w:hAnsi="仿宋_GB2312" w:eastAsia="仿宋_GB2312" w:cs="仿宋_GB2312"/>
          <w:color w:val="0000FF"/>
          <w:szCs w:val="32"/>
        </w:rPr>
      </w:pPr>
      <w:r>
        <w:rPr>
          <w:rFonts w:hint="eastAsia" w:ascii="仿宋_GB2312" w:hAnsi="仿宋_GB2312" w:eastAsia="仿宋_GB2312" w:cs="仿宋_GB2312"/>
          <w:szCs w:val="32"/>
        </w:rPr>
        <w:t>永济市交通运输局在与项目三期施工单位签订合同过程中，存在以下问题：①项目招标文件显示工期为365日历天，合同签订工期为270日历天/275日历天。②项目三期建设工程共分为4个标段，工期统一为2020年10月20日-2021年7月20日，但一二标段合同签订总工期为270日历天，三四标段合同签订总工期为275日历天。</w:t>
      </w:r>
    </w:p>
    <w:p>
      <w:pPr>
        <w:ind w:firstLine="643"/>
        <w:rPr>
          <w:rFonts w:eastAsia="楷体"/>
        </w:rPr>
      </w:pPr>
      <w:r>
        <w:rPr>
          <w:rFonts w:hint="eastAsia" w:ascii="Arial" w:hAnsi="Arial" w:eastAsia="楷体" w:cstheme="minorBidi"/>
          <w:b/>
        </w:rPr>
        <w:t>（二）管理制度不健全</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永济市交通运输局未制定项目后期维护管理制度。</w:t>
      </w:r>
    </w:p>
    <w:p>
      <w:pPr>
        <w:ind w:firstLine="643"/>
        <w:rPr>
          <w:rFonts w:eastAsia="楷体"/>
        </w:rPr>
      </w:pPr>
      <w:r>
        <w:rPr>
          <w:rFonts w:hint="eastAsia" w:ascii="Arial" w:hAnsi="Arial" w:eastAsia="楷体" w:cstheme="minorBidi"/>
          <w:b/>
        </w:rPr>
        <w:t>（三）制度执行不规范</w:t>
      </w:r>
    </w:p>
    <w:p>
      <w:pPr>
        <w:widowControl/>
        <w:ind w:firstLine="640"/>
        <w:rPr>
          <w:rFonts w:ascii="仿宋_GB2312" w:hAnsi="仿宋_GB2312" w:eastAsia="仿宋_GB2312" w:cs="仿宋_GB2312"/>
          <w:color w:val="0000FF"/>
          <w:szCs w:val="32"/>
        </w:rPr>
      </w:pPr>
      <w:r>
        <w:rPr>
          <w:rFonts w:hint="eastAsia" w:ascii="仿宋_GB2312" w:hAnsi="仿宋_GB2312" w:eastAsia="仿宋_GB2312" w:cs="仿宋_GB2312"/>
          <w:szCs w:val="32"/>
        </w:rPr>
        <w:t>永济市交通运输局实施项目过程中存在以下问题：一是项目资料不完整。①项目完成后，永济市交通运输局未及时将竣工验收报告等资料</w:t>
      </w:r>
      <w:r>
        <w:rPr>
          <w:rFonts w:hint="eastAsia" w:ascii="仿宋_GB2312" w:hAnsi="仿宋_GB2312" w:eastAsia="仿宋_GB2312" w:cs="仿宋_GB2312"/>
          <w:color w:val="000000" w:themeColor="text1"/>
          <w:szCs w:val="32"/>
        </w:rPr>
        <w:t>收集归档</w:t>
      </w:r>
      <w:r>
        <w:rPr>
          <w:rFonts w:hint="eastAsia" w:ascii="仿宋_GB2312" w:hAnsi="仿宋_GB2312" w:eastAsia="仿宋_GB2312" w:cs="仿宋_GB2312"/>
          <w:szCs w:val="32"/>
        </w:rPr>
        <w:t>。②项目交工验收报告上未标明项目开完工时间。二是竣工决算不及时。项目二期工程早于三期工程，三期工程已进行竣工结算审计。但截至报告日，二期工程仍未竣工结算审计。三是项目完成后，永济市交通运输局未编制自评报告。</w:t>
      </w:r>
    </w:p>
    <w:p>
      <w:pPr>
        <w:pStyle w:val="5"/>
        <w:ind w:firstLine="640"/>
        <w:rPr>
          <w:b w:val="0"/>
          <w:bCs/>
        </w:rPr>
      </w:pPr>
      <w:bookmarkStart w:id="133" w:name="_Toc9927"/>
      <w:bookmarkStart w:id="134" w:name="_Toc14127"/>
      <w:r>
        <w:rPr>
          <w:rFonts w:hint="eastAsia"/>
          <w:b w:val="0"/>
          <w:bCs/>
        </w:rPr>
        <w:t>六、相关建议</w:t>
      </w:r>
      <w:bookmarkEnd w:id="133"/>
      <w:bookmarkEnd w:id="134"/>
    </w:p>
    <w:p>
      <w:pPr>
        <w:ind w:firstLine="643"/>
        <w:rPr>
          <w:rFonts w:ascii="Arial" w:hAnsi="Arial" w:eastAsia="楷体" w:cstheme="minorBidi"/>
          <w:b/>
        </w:rPr>
      </w:pPr>
      <w:bookmarkStart w:id="135" w:name="_Toc29527"/>
      <w:r>
        <w:rPr>
          <w:rFonts w:hint="eastAsia" w:ascii="Arial" w:hAnsi="Arial" w:eastAsia="楷体" w:cstheme="minorBidi"/>
          <w:b/>
        </w:rPr>
        <w:t>（一）加强合同管理</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项目实施单位应根据《中华人民共和国招</w:t>
      </w:r>
      <w:r>
        <w:rPr>
          <w:rFonts w:hint="eastAsia" w:ascii="仿宋_GB2312" w:hAnsi="仿宋_GB2312" w:eastAsia="仿宋_GB2312" w:cs="仿宋_GB2312"/>
          <w:szCs w:val="32"/>
          <w:lang w:val="en-US" w:eastAsia="zh-CN"/>
        </w:rPr>
        <w:t>标</w:t>
      </w:r>
      <w:r>
        <w:rPr>
          <w:rFonts w:hint="eastAsia" w:ascii="仿宋_GB2312" w:hAnsi="仿宋_GB2312" w:eastAsia="仿宋_GB2312" w:cs="仿宋_GB2312"/>
          <w:szCs w:val="32"/>
        </w:rPr>
        <w:t>投标法》第五十九条“ </w:t>
      </w:r>
      <w:r>
        <w:rPr>
          <w:rFonts w:ascii="仿宋_GB2312" w:hAnsi="仿宋_GB2312" w:eastAsia="仿宋_GB2312" w:cs="仿宋_GB2312"/>
          <w:szCs w:val="32"/>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仿宋_GB2312" w:hAnsi="仿宋_GB2312" w:eastAsia="仿宋_GB2312" w:cs="仿宋_GB2312"/>
          <w:szCs w:val="32"/>
        </w:rPr>
        <w:t>”的规定，对双方实际签订合同方不一致的事项进行处理。”</w:t>
      </w:r>
    </w:p>
    <w:p>
      <w:pPr>
        <w:pStyle w:val="2"/>
        <w:ind w:left="0" w:leftChars="0" w:firstLine="0" w:firstLineChars="0"/>
        <w:rPr>
          <w:rFonts w:eastAsia="仿宋_GB2312"/>
        </w:rPr>
      </w:pPr>
      <w:r>
        <w:rPr>
          <w:rFonts w:hint="eastAsia" w:ascii="仿宋_GB2312" w:hAnsi="仿宋_GB2312" w:eastAsia="仿宋_GB2312" w:cs="仿宋_GB2312"/>
          <w:szCs w:val="32"/>
        </w:rPr>
        <w:t xml:space="preserve">    项目实施单位应严格按照招标公告总工期，确定合同总工期，二者要保持一致。</w:t>
      </w:r>
    </w:p>
    <w:p>
      <w:pPr>
        <w:ind w:firstLine="643"/>
        <w:rPr>
          <w:b/>
          <w:bCs/>
        </w:rPr>
      </w:pPr>
      <w:r>
        <w:rPr>
          <w:rFonts w:hint="eastAsia" w:ascii="Arial" w:hAnsi="Arial" w:eastAsia="楷体" w:cstheme="minorBidi"/>
          <w:b/>
        </w:rPr>
        <w:t>（二）建立健全项目管理制度</w:t>
      </w:r>
    </w:p>
    <w:p>
      <w:pPr>
        <w:ind w:firstLine="640"/>
        <w:rPr>
          <w:rFonts w:ascii="Times New Roman" w:hAnsi="Times New Roman" w:eastAsia="仿宋_GB2312"/>
          <w:szCs w:val="32"/>
        </w:rPr>
      </w:pPr>
      <w:r>
        <w:rPr>
          <w:rFonts w:hint="eastAsia" w:ascii="Times New Roman" w:hAnsi="Times New Roman" w:eastAsia="仿宋_GB2312"/>
          <w:szCs w:val="32"/>
        </w:rPr>
        <w:t>项目实施单位应当制定项目后期管护制度，使投入使用的资产得到良好的管护。</w:t>
      </w:r>
    </w:p>
    <w:p>
      <w:pPr>
        <w:numPr>
          <w:ilvl w:val="0"/>
          <w:numId w:val="1"/>
        </w:numPr>
        <w:ind w:firstLine="643"/>
        <w:rPr>
          <w:rFonts w:hint="eastAsia" w:ascii="Arial" w:hAnsi="Arial" w:eastAsia="楷体" w:cstheme="minorBidi"/>
          <w:b/>
        </w:rPr>
      </w:pPr>
      <w:r>
        <w:rPr>
          <w:rFonts w:hint="eastAsia" w:ascii="Arial" w:hAnsi="Arial" w:eastAsia="楷体" w:cstheme="minorBidi"/>
          <w:b/>
        </w:rPr>
        <w:t>增强制度执行有效性</w:t>
      </w:r>
    </w:p>
    <w:p>
      <w:pPr>
        <w:numPr>
          <w:ilvl w:val="0"/>
          <w:numId w:val="0"/>
        </w:numPr>
        <w:ind w:firstLine="640" w:firstLineChars="200"/>
        <w:rPr>
          <w:rFonts w:ascii="Times New Roman" w:hAnsi="Times New Roman" w:eastAsia="仿宋_GB2312"/>
          <w:szCs w:val="32"/>
        </w:rPr>
      </w:pPr>
      <w:r>
        <w:rPr>
          <w:rFonts w:hint="eastAsia" w:ascii="Times New Roman" w:hAnsi="Times New Roman" w:eastAsia="仿宋_GB2312"/>
          <w:szCs w:val="32"/>
        </w:rPr>
        <w:t>（</w:t>
      </w:r>
      <w:r>
        <w:rPr>
          <w:rFonts w:hint="eastAsia" w:ascii="仿宋_GB2312" w:hAnsi="仿宋_GB2312" w:eastAsia="仿宋_GB2312" w:cs="仿宋_GB2312"/>
          <w:szCs w:val="32"/>
          <w:lang w:val="en-US" w:eastAsia="zh-CN"/>
        </w:rPr>
        <w:t>1</w:t>
      </w:r>
      <w:r>
        <w:rPr>
          <w:rFonts w:hint="eastAsia" w:ascii="Times New Roman" w:hAnsi="Times New Roman" w:eastAsia="仿宋_GB2312"/>
          <w:szCs w:val="32"/>
        </w:rPr>
        <w:t>）加强档案管理。项目完成后，项目实施单位应及时将项目相关资料进行收集整理，并归纳编号，放于档案室中，由专门人员进行管理，便于后期查看。</w:t>
      </w:r>
    </w:p>
    <w:p>
      <w:pPr>
        <w:widowControl/>
        <w:ind w:firstLine="640"/>
        <w:rPr>
          <w:rFonts w:ascii="仿宋_GB2312" w:hAnsi="仿宋_GB2312" w:eastAsia="仿宋_GB2312" w:cs="仿宋_GB2312"/>
          <w:szCs w:val="32"/>
        </w:rPr>
      </w:pPr>
      <w:r>
        <w:rPr>
          <w:rFonts w:hint="eastAsia" w:ascii="Times New Roman" w:hAnsi="Times New Roman" w:eastAsia="仿宋_GB2312"/>
          <w:szCs w:val="32"/>
        </w:rPr>
        <w:t>（</w:t>
      </w:r>
      <w:r>
        <w:rPr>
          <w:rFonts w:hint="eastAsia" w:ascii="仿宋_GB2312" w:hAnsi="仿宋_GB2312" w:eastAsia="仿宋_GB2312" w:cs="仿宋_GB2312"/>
          <w:szCs w:val="32"/>
          <w:lang w:val="en-US" w:eastAsia="zh-CN"/>
        </w:rPr>
        <w:t>2</w:t>
      </w:r>
      <w:r>
        <w:rPr>
          <w:rFonts w:hint="eastAsia" w:ascii="Times New Roman" w:hAnsi="Times New Roman" w:eastAsia="仿宋_GB2312"/>
          <w:szCs w:val="32"/>
        </w:rPr>
        <w:t>）根据</w:t>
      </w:r>
      <w:r>
        <w:rPr>
          <w:rFonts w:hint="eastAsia" w:ascii="仿宋_GB2312" w:hAnsi="仿宋_GB2312" w:eastAsia="仿宋_GB2312" w:cs="仿宋_GB2312"/>
          <w:szCs w:val="32"/>
        </w:rPr>
        <w:t>《关于印发基本建设项目竣工财务决算管理暂行办法的通知》（财建〔2016〕503号）文件要求，基本建设项目完工可投入使用或者试运行合格后，应当在3个月内编报竣工财务决算，特殊情况确需延长的，中小型项目不得超过2个月，大型项目不得超过6个月。</w:t>
      </w:r>
    </w:p>
    <w:p>
      <w:pPr>
        <w:widowControl/>
        <w:ind w:firstLine="640"/>
        <w:rPr>
          <w:rFonts w:ascii="仿宋_GB2312" w:hAnsi="仿宋_GB2312" w:eastAsia="仿宋_GB2312" w:cs="仿宋_GB2312"/>
          <w:szCs w:val="32"/>
        </w:rPr>
      </w:pPr>
      <w:r>
        <w:rPr>
          <w:rFonts w:hint="eastAsia" w:ascii="仿宋_GB2312" w:hAnsi="仿宋_GB2312" w:eastAsia="仿宋_GB2312" w:cs="仿宋_GB2312"/>
          <w:szCs w:val="32"/>
        </w:rPr>
        <w:t>该项目于2019年年底开工建设，2020年底建设完成，而截至2022年11月评价组实地调研期间，项目仍未开展竣工财务决算工作，与财建〔2016〕503号文件要求不符。竣工决算的延期，不利于投入使用后的资产得到良好的管理与有效的利用。</w:t>
      </w:r>
    </w:p>
    <w:p>
      <w:pPr>
        <w:ind w:firstLine="640"/>
        <w:rPr>
          <w:bCs/>
        </w:rPr>
      </w:pPr>
      <w:r>
        <w:rPr>
          <w:rFonts w:hint="eastAsia" w:ascii="Times New Roman" w:hAnsi="Times New Roman" w:eastAsia="仿宋_GB2312"/>
          <w:szCs w:val="32"/>
        </w:rPr>
        <w:t>（</w:t>
      </w:r>
      <w:r>
        <w:rPr>
          <w:rFonts w:hint="eastAsia" w:ascii="仿宋_GB2312" w:hAnsi="仿宋_GB2312" w:eastAsia="仿宋_GB2312" w:cs="仿宋_GB2312"/>
          <w:szCs w:val="32"/>
          <w:lang w:val="en-US" w:eastAsia="zh-CN"/>
        </w:rPr>
        <w:t>3</w:t>
      </w:r>
      <w:r>
        <w:rPr>
          <w:rFonts w:hint="eastAsia" w:ascii="Times New Roman" w:hAnsi="Times New Roman" w:eastAsia="仿宋_GB2312"/>
          <w:szCs w:val="32"/>
        </w:rPr>
        <w:t>）年度预算执行完毕，主管单位应按照相关规定和要求开展自评工作，项目分管部门根据批复的项目绩效目标，收集绩效目标完成情况、预算执行进度等数据资料，填写年度总体绩效目标、具体绩效指标完成情况和预算执行情况，对未完成绩效目标或偏离绩效目标较大的要分析并说明原因，做到自评报告内容完整、数据真实、结果客观。</w:t>
      </w:r>
      <w:r>
        <w:rPr>
          <w:rFonts w:hint="eastAsia"/>
          <w:bCs/>
        </w:rPr>
        <w:br w:type="page"/>
      </w:r>
    </w:p>
    <w:bookmarkEnd w:id="79"/>
    <w:bookmarkEnd w:id="135"/>
    <w:p>
      <w:pPr>
        <w:ind w:firstLine="0" w:firstLineChars="0"/>
        <w:jc w:val="both"/>
        <w:rPr>
          <w:rFonts w:ascii="仿宋_GB2312" w:hAnsi="仿宋_GB2312" w:eastAsia="仿宋_GB2312" w:cs="仿宋_GB2312"/>
          <w:szCs w:val="32"/>
        </w:rPr>
      </w:pPr>
      <w:bookmarkStart w:id="136" w:name="_Toc27197"/>
      <w:bookmarkStart w:id="137" w:name="_Toc21647"/>
      <w:bookmarkStart w:id="138" w:name="_Toc21317"/>
      <w:bookmarkStart w:id="139" w:name="_Toc19544"/>
      <w:bookmarkStart w:id="140" w:name="_Toc32651"/>
      <w:r>
        <w:rPr>
          <w:rFonts w:hint="eastAsia" w:ascii="仿宋_GB2312" w:hAnsi="仿宋_GB2312" w:eastAsia="仿宋_GB2312" w:cs="仿宋_GB2312"/>
          <w:szCs w:val="32"/>
        </w:rPr>
        <w:t>（此页无正文）</w:t>
      </w:r>
    </w:p>
    <w:p>
      <w:pPr>
        <w:ind w:firstLine="0" w:firstLineChars="0"/>
        <w:jc w:val="both"/>
        <w:rPr>
          <w:rFonts w:ascii="仿宋_GB2312" w:hAnsi="仿宋_GB2312" w:eastAsia="仿宋_GB2312" w:cs="仿宋_GB2312"/>
          <w:szCs w:val="32"/>
        </w:rPr>
      </w:pPr>
      <w:r>
        <w:rPr>
          <w:rFonts w:hint="eastAsia" w:ascii="仿宋_GB2312" w:hAnsi="仿宋_GB2312" w:eastAsia="仿宋_GB2312" w:cs="仿宋_GB2312"/>
          <w:szCs w:val="32"/>
        </w:rPr>
        <w:t>附送材料：</w:t>
      </w:r>
    </w:p>
    <w:p>
      <w:pPr>
        <w:ind w:firstLine="640"/>
        <w:jc w:val="both"/>
        <w:rPr>
          <w:rFonts w:ascii="仿宋_GB2312" w:hAnsi="仿宋_GB2312" w:eastAsia="仿宋_GB2312" w:cs="仿宋_GB2312"/>
          <w:szCs w:val="32"/>
          <w:lang w:val="zh-CN"/>
        </w:rPr>
      </w:pPr>
      <w:r>
        <w:rPr>
          <w:rFonts w:hint="eastAsia" w:ascii="仿宋_GB2312" w:hAnsi="仿宋_GB2312" w:eastAsia="仿宋_GB2312" w:cs="仿宋_GB2312"/>
          <w:szCs w:val="32"/>
          <w:lang w:val="zh-CN"/>
        </w:rPr>
        <w:t>附件1：绩效评价指标体系</w:t>
      </w:r>
      <w:bookmarkEnd w:id="136"/>
      <w:bookmarkEnd w:id="137"/>
      <w:bookmarkEnd w:id="138"/>
      <w:bookmarkEnd w:id="139"/>
      <w:bookmarkEnd w:id="140"/>
    </w:p>
    <w:p>
      <w:pPr>
        <w:ind w:firstLine="640"/>
        <w:jc w:val="both"/>
        <w:rPr>
          <w:rFonts w:ascii="仿宋_GB2312" w:hAnsi="仿宋_GB2312" w:eastAsia="仿宋_GB2312" w:cs="仿宋_GB2312"/>
          <w:szCs w:val="32"/>
          <w:lang w:val="zh-CN"/>
        </w:rPr>
      </w:pPr>
      <w:bookmarkStart w:id="141" w:name="_Toc20890"/>
      <w:bookmarkStart w:id="142" w:name="_Toc32638"/>
      <w:bookmarkStart w:id="143" w:name="_Toc2019"/>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rPr>
        <w:t>2：</w:t>
      </w:r>
      <w:r>
        <w:rPr>
          <w:rFonts w:hint="eastAsia" w:ascii="仿宋_GB2312" w:hAnsi="仿宋_GB2312" w:eastAsia="仿宋_GB2312" w:cs="仿宋_GB2312"/>
          <w:szCs w:val="32"/>
          <w:lang w:val="zh-CN"/>
        </w:rPr>
        <w:t>绩效评价</w:t>
      </w:r>
      <w:bookmarkEnd w:id="141"/>
      <w:bookmarkEnd w:id="142"/>
      <w:bookmarkEnd w:id="143"/>
      <w:r>
        <w:rPr>
          <w:rFonts w:hint="eastAsia" w:ascii="仿宋_GB2312" w:hAnsi="仿宋_GB2312" w:eastAsia="仿宋_GB2312" w:cs="仿宋_GB2312"/>
          <w:szCs w:val="32"/>
        </w:rPr>
        <w:t>评分表</w:t>
      </w:r>
    </w:p>
    <w:p>
      <w:pPr>
        <w:ind w:firstLine="640"/>
        <w:jc w:val="both"/>
        <w:rPr>
          <w:rFonts w:ascii="仿宋_GB2312" w:hAnsi="仿宋_GB2312" w:eastAsia="仿宋_GB2312" w:cs="仿宋_GB2312"/>
          <w:szCs w:val="32"/>
        </w:rPr>
      </w:pPr>
      <w:bookmarkStart w:id="144" w:name="_Toc30805"/>
      <w:bookmarkStart w:id="145" w:name="_Toc3949"/>
      <w:bookmarkStart w:id="146" w:name="_Toc3475"/>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rPr>
        <w:t>3：</w:t>
      </w:r>
      <w:bookmarkEnd w:id="144"/>
      <w:bookmarkEnd w:id="145"/>
      <w:bookmarkEnd w:id="146"/>
      <w:r>
        <w:rPr>
          <w:rFonts w:hint="eastAsia" w:ascii="仿宋_GB2312" w:hAnsi="仿宋_GB2312" w:eastAsia="仿宋_GB2312" w:cs="仿宋_GB2312"/>
          <w:szCs w:val="32"/>
        </w:rPr>
        <w:t>访谈报告</w:t>
      </w:r>
    </w:p>
    <w:p>
      <w:pPr>
        <w:ind w:firstLine="640"/>
        <w:jc w:val="both"/>
        <w:rPr>
          <w:rFonts w:ascii="仿宋_GB2312" w:hAnsi="仿宋_GB2312" w:eastAsia="仿宋_GB2312" w:cs="仿宋_GB2312"/>
          <w:szCs w:val="32"/>
          <w:lang w:val="zh-CN"/>
        </w:rPr>
      </w:pPr>
      <w:bookmarkStart w:id="147" w:name="_Toc12988"/>
      <w:bookmarkStart w:id="148" w:name="_Toc14754"/>
      <w:bookmarkStart w:id="149" w:name="_Toc12491"/>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rPr>
        <w:t>4：</w:t>
      </w:r>
      <w:r>
        <w:rPr>
          <w:rFonts w:hint="eastAsia" w:ascii="仿宋_GB2312" w:hAnsi="仿宋_GB2312" w:eastAsia="仿宋_GB2312" w:cs="仿宋_GB2312"/>
          <w:szCs w:val="32"/>
          <w:lang w:val="zh-CN"/>
        </w:rPr>
        <w:t>问卷调查</w:t>
      </w:r>
      <w:bookmarkEnd w:id="147"/>
      <w:bookmarkEnd w:id="148"/>
      <w:bookmarkEnd w:id="149"/>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附件5：问卷调查分析报告</w:t>
      </w:r>
    </w:p>
    <w:p>
      <w:pPr>
        <w:ind w:firstLine="640"/>
        <w:jc w:val="both"/>
        <w:rPr>
          <w:rFonts w:ascii="仿宋_GB2312" w:hAnsi="仿宋_GB2312" w:eastAsia="仿宋_GB2312" w:cs="仿宋_GB2312"/>
          <w:szCs w:val="32"/>
        </w:rPr>
      </w:pPr>
      <w:bookmarkStart w:id="150" w:name="_Toc20376"/>
      <w:bookmarkStart w:id="151" w:name="_Toc2754"/>
      <w:bookmarkStart w:id="152" w:name="_Toc24304"/>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rPr>
        <w:t>6：</w:t>
      </w:r>
      <w:bookmarkEnd w:id="150"/>
      <w:bookmarkEnd w:id="151"/>
      <w:bookmarkEnd w:id="152"/>
      <w:r>
        <w:rPr>
          <w:rFonts w:hint="eastAsia" w:ascii="仿宋_GB2312" w:hAnsi="仿宋_GB2312" w:eastAsia="仿宋_GB2312" w:cs="仿宋_GB2312"/>
          <w:szCs w:val="32"/>
        </w:rPr>
        <w:t>资金合规性检查报告</w:t>
      </w:r>
    </w:p>
    <w:p>
      <w:pPr>
        <w:ind w:firstLine="640"/>
        <w:jc w:val="both"/>
        <w:rPr>
          <w:rFonts w:ascii="仿宋_GB2312" w:hAnsi="仿宋_GB2312" w:eastAsia="仿宋_GB2312" w:cs="仿宋_GB2312"/>
          <w:szCs w:val="32"/>
          <w:lang w:val="zh-CN"/>
        </w:rPr>
      </w:pPr>
      <w:bookmarkStart w:id="153" w:name="_Toc14747"/>
      <w:bookmarkStart w:id="154" w:name="_Toc9571"/>
      <w:bookmarkStart w:id="155" w:name="_Toc32033"/>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rPr>
        <w:t>7：</w:t>
      </w:r>
      <w:bookmarkEnd w:id="153"/>
      <w:bookmarkEnd w:id="154"/>
      <w:bookmarkEnd w:id="155"/>
      <w:r>
        <w:rPr>
          <w:rFonts w:hint="eastAsia" w:ascii="仿宋_GB2312" w:hAnsi="仿宋_GB2312" w:eastAsia="仿宋_GB2312" w:cs="仿宋_GB2312"/>
          <w:szCs w:val="32"/>
          <w:lang w:val="zh-CN"/>
        </w:rPr>
        <w:t>基础信息及自评报告复核情况表</w:t>
      </w:r>
    </w:p>
    <w:p>
      <w:pPr>
        <w:widowControl/>
        <w:ind w:firstLine="640"/>
        <w:rPr>
          <w:rFonts w:ascii="仿宋_GB2312" w:hAnsi="仿宋_GB2312" w:eastAsia="仿宋_GB2312" w:cs="仿宋_GB2312"/>
          <w:sz w:val="32"/>
          <w:szCs w:val="32"/>
        </w:rPr>
      </w:pPr>
      <w:bookmarkStart w:id="156" w:name="_Toc5385"/>
      <w:bookmarkStart w:id="157" w:name="_Toc17318"/>
      <w:bookmarkStart w:id="158" w:name="_Toc31742"/>
      <w:bookmarkStart w:id="159" w:name="_Toc11536"/>
      <w:bookmarkStart w:id="160" w:name="_Toc15105"/>
      <w:bookmarkStart w:id="161" w:name="_Toc4068"/>
      <w:r>
        <w:rPr>
          <w:rFonts w:hint="eastAsia" w:ascii="仿宋_GB2312" w:hAnsi="仿宋_GB2312" w:eastAsia="仿宋_GB2312" w:cs="仿宋_GB2312"/>
          <w:sz w:val="32"/>
          <w:szCs w:val="32"/>
        </w:rPr>
        <w:t>附件8：评价机构营业执照复印件</w:t>
      </w:r>
      <w:bookmarkEnd w:id="156"/>
      <w:bookmarkEnd w:id="157"/>
      <w:bookmarkEnd w:id="158"/>
      <w:bookmarkEnd w:id="159"/>
      <w:bookmarkEnd w:id="160"/>
      <w:bookmarkEnd w:id="161"/>
    </w:p>
    <w:p>
      <w:pPr>
        <w:widowControl/>
        <w:ind w:firstLine="640"/>
        <w:rPr>
          <w:rFonts w:ascii="仿宋_GB2312" w:hAnsi="仿宋_GB2312" w:eastAsia="仿宋_GB2312" w:cs="仿宋_GB2312"/>
          <w:sz w:val="32"/>
          <w:szCs w:val="32"/>
        </w:rPr>
      </w:pPr>
      <w:bookmarkStart w:id="162" w:name="_Toc15386"/>
      <w:bookmarkStart w:id="163" w:name="_Toc12994"/>
      <w:bookmarkStart w:id="164" w:name="_Toc19332"/>
      <w:bookmarkStart w:id="165" w:name="_Toc11728"/>
      <w:bookmarkStart w:id="166" w:name="_Toc29426"/>
      <w:bookmarkStart w:id="167" w:name="_Toc2363"/>
      <w:r>
        <w:rPr>
          <w:rFonts w:hint="eastAsia" w:ascii="仿宋_GB2312" w:hAnsi="仿宋_GB2312" w:eastAsia="仿宋_GB2312" w:cs="仿宋_GB2312"/>
          <w:sz w:val="32"/>
          <w:szCs w:val="32"/>
        </w:rPr>
        <w:t>附件9：评价机构执业资格复印件</w:t>
      </w:r>
      <w:bookmarkEnd w:id="162"/>
      <w:bookmarkEnd w:id="163"/>
      <w:bookmarkEnd w:id="164"/>
      <w:bookmarkEnd w:id="165"/>
      <w:bookmarkEnd w:id="166"/>
      <w:bookmarkEnd w:id="167"/>
    </w:p>
    <w:p>
      <w:pPr>
        <w:widowControl/>
        <w:ind w:firstLine="0" w:firstLineChars="0"/>
        <w:rPr>
          <w:rFonts w:ascii="仿宋_GB2312" w:hAnsi="仿宋_GB2312" w:eastAsia="仿宋_GB2312" w:cs="仿宋_GB2312"/>
          <w:szCs w:val="32"/>
          <w:lang w:val="zh-CN"/>
        </w:rPr>
      </w:pPr>
    </w:p>
    <w:p>
      <w:pPr>
        <w:widowControl/>
        <w:ind w:firstLine="0" w:firstLineChars="0"/>
        <w:rPr>
          <w:rFonts w:ascii="仿宋_GB2312" w:hAnsi="仿宋_GB2312" w:eastAsia="仿宋_GB2312" w:cs="仿宋_GB2312"/>
          <w:szCs w:val="32"/>
          <w:lang w:val="zh-CN"/>
        </w:rPr>
      </w:pPr>
    </w:p>
    <w:p>
      <w:pPr>
        <w:widowControl/>
        <w:ind w:firstLine="640"/>
        <w:rPr>
          <w:rFonts w:ascii="仿宋_GB2312" w:hAnsi="仿宋_GB2312" w:eastAsia="仿宋_GB2312" w:cs="仿宋_GB2312"/>
          <w:szCs w:val="32"/>
        </w:rPr>
      </w:pPr>
      <w:r>
        <w:rPr>
          <w:rFonts w:hint="eastAsia" w:ascii="仿宋_GB2312" w:hAnsi="仿宋_GB2312" w:eastAsia="仿宋_GB2312" w:cs="仿宋_GB2312"/>
          <w:szCs w:val="32"/>
          <w:lang w:val="zh-CN"/>
        </w:rPr>
        <w:t>山西同仁会计师事务所</w:t>
      </w:r>
      <w:r>
        <w:rPr>
          <w:rFonts w:hint="eastAsia" w:ascii="仿宋_GB2312" w:hAnsi="仿宋_GB2312" w:eastAsia="仿宋_GB2312" w:cs="仿宋_GB2312"/>
          <w:szCs w:val="32"/>
        </w:rPr>
        <w:t xml:space="preserve">             主评人：</w:t>
      </w:r>
    </w:p>
    <w:p>
      <w:pPr>
        <w:widowControl/>
        <w:ind w:firstLine="1280" w:firstLineChars="400"/>
        <w:jc w:val="both"/>
        <w:rPr>
          <w:rFonts w:ascii="仿宋_GB2312" w:hAnsi="仿宋_GB2312" w:eastAsia="仿宋_GB2312" w:cs="仿宋_GB2312"/>
          <w:szCs w:val="32"/>
          <w:lang w:val="zh-CN"/>
        </w:rPr>
      </w:pPr>
      <w:r>
        <w:rPr>
          <w:rFonts w:hint="eastAsia" w:ascii="仿宋_GB2312" w:hAnsi="仿宋_GB2312" w:eastAsia="仿宋_GB2312" w:cs="仿宋_GB2312"/>
          <w:szCs w:val="32"/>
          <w:lang w:val="zh-CN"/>
        </w:rPr>
        <w:t>（有限公司）</w:t>
      </w:r>
    </w:p>
    <w:p>
      <w:pPr>
        <w:widowControl/>
        <w:ind w:firstLine="0" w:firstLineChars="0"/>
        <w:rPr>
          <w:rFonts w:ascii="仿宋_GB2312" w:hAnsi="仿宋_GB2312" w:eastAsia="仿宋_GB2312" w:cs="仿宋_GB2312"/>
          <w:szCs w:val="32"/>
        </w:rPr>
      </w:pPr>
    </w:p>
    <w:p>
      <w:pPr>
        <w:widowControl/>
        <w:ind w:firstLine="0" w:firstLineChars="0"/>
        <w:rPr>
          <w:rFonts w:ascii="仿宋_GB2312" w:hAnsi="仿宋_GB2312" w:eastAsia="仿宋_GB2312" w:cs="仿宋_GB2312"/>
          <w:szCs w:val="32"/>
        </w:rPr>
        <w:sectPr>
          <w:footerReference r:id="rId15" w:type="default"/>
          <w:pgSz w:w="11906" w:h="16838"/>
          <w:pgMar w:top="2041" w:right="1417" w:bottom="1417" w:left="1531" w:header="1417" w:footer="992" w:gutter="0"/>
          <w:pgNumType w:start="1"/>
          <w:cols w:space="720" w:num="1"/>
          <w:docGrid w:type="lines" w:linePitch="312" w:charSpace="0"/>
        </w:sectPr>
      </w:pPr>
      <w:r>
        <w:rPr>
          <w:rFonts w:hint="eastAsia" w:ascii="仿宋_GB2312" w:hAnsi="仿宋_GB2312" w:eastAsia="仿宋_GB2312" w:cs="仿宋_GB2312"/>
          <w:szCs w:val="32"/>
        </w:rPr>
        <w:t xml:space="preserve">                               二〇二二年十一月二十五日</w:t>
      </w:r>
    </w:p>
    <w:p>
      <w:pPr>
        <w:spacing w:line="240" w:lineRule="auto"/>
        <w:ind w:firstLine="0" w:firstLineChars="0"/>
        <w:outlineLvl w:val="0"/>
        <w:rPr>
          <w:rFonts w:ascii="黑体" w:hAnsi="黑体" w:eastAsia="黑体" w:cs="黑体"/>
          <w:b/>
          <w:bCs/>
          <w:kern w:val="44"/>
          <w:szCs w:val="32"/>
        </w:rPr>
      </w:pPr>
      <w:bookmarkStart w:id="168" w:name="_Toc16329"/>
      <w:r>
        <w:rPr>
          <w:rFonts w:hint="eastAsia" w:ascii="黑体" w:hAnsi="黑体" w:eastAsia="黑体" w:cs="黑体"/>
          <w:b/>
          <w:bCs/>
          <w:kern w:val="44"/>
          <w:szCs w:val="32"/>
        </w:rPr>
        <w:t>附件1</w:t>
      </w:r>
      <w:bookmarkEnd w:id="168"/>
    </w:p>
    <w:p>
      <w:pPr>
        <w:spacing w:line="240" w:lineRule="auto"/>
        <w:ind w:firstLine="0" w:firstLineChars="0"/>
        <w:jc w:val="center"/>
        <w:rPr>
          <w:rFonts w:ascii="仿宋" w:hAnsi="仿宋" w:cs="仿宋"/>
          <w:b/>
          <w:bCs/>
          <w:sz w:val="28"/>
          <w:szCs w:val="28"/>
        </w:rPr>
      </w:pPr>
      <w:bookmarkStart w:id="169" w:name="_Toc18847"/>
      <w:r>
        <w:rPr>
          <w:rFonts w:hint="eastAsia" w:ascii="仿宋_GB2312" w:hAnsi="仿宋_GB2312" w:eastAsia="仿宋_GB2312" w:cs="仿宋_GB2312"/>
          <w:b/>
          <w:bCs/>
          <w:szCs w:val="32"/>
          <w:lang w:val="zh-CN"/>
        </w:rPr>
        <w:t>绩效评价指标体系</w:t>
      </w:r>
      <w:bookmarkEnd w:id="169"/>
    </w:p>
    <w:tbl>
      <w:tblPr>
        <w:tblStyle w:val="15"/>
        <w:tblW w:w="13942" w:type="dxa"/>
        <w:jc w:val="center"/>
        <w:tblLayout w:type="fixed"/>
        <w:tblCellMar>
          <w:top w:w="15" w:type="dxa"/>
          <w:left w:w="15" w:type="dxa"/>
          <w:bottom w:w="15" w:type="dxa"/>
          <w:right w:w="15" w:type="dxa"/>
        </w:tblCellMar>
      </w:tblPr>
      <w:tblGrid>
        <w:gridCol w:w="701"/>
        <w:gridCol w:w="409"/>
        <w:gridCol w:w="738"/>
        <w:gridCol w:w="447"/>
        <w:gridCol w:w="950"/>
        <w:gridCol w:w="430"/>
        <w:gridCol w:w="3247"/>
        <w:gridCol w:w="614"/>
        <w:gridCol w:w="4605"/>
        <w:gridCol w:w="1201"/>
        <w:gridCol w:w="600"/>
      </w:tblGrid>
      <w:tr>
        <w:tblPrEx>
          <w:tblCellMar>
            <w:top w:w="15" w:type="dxa"/>
            <w:left w:w="15" w:type="dxa"/>
            <w:bottom w:w="15" w:type="dxa"/>
            <w:right w:w="15" w:type="dxa"/>
          </w:tblCellMar>
        </w:tblPrEx>
        <w:trPr>
          <w:trHeight w:val="620" w:hRule="atLeast"/>
          <w:tblHeader/>
          <w:jc w:val="center"/>
        </w:trPr>
        <w:tc>
          <w:tcPr>
            <w:tcW w:w="701"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一级</w:t>
            </w:r>
          </w:p>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w:t>
            </w:r>
          </w:p>
        </w:tc>
        <w:tc>
          <w:tcPr>
            <w:tcW w:w="409"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738"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二级</w:t>
            </w:r>
          </w:p>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w:t>
            </w:r>
          </w:p>
        </w:tc>
        <w:tc>
          <w:tcPr>
            <w:tcW w:w="44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95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三级</w:t>
            </w:r>
          </w:p>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w:t>
            </w:r>
          </w:p>
        </w:tc>
        <w:tc>
          <w:tcPr>
            <w:tcW w:w="430" w:type="dxa"/>
            <w:tcBorders>
              <w:top w:val="single" w:color="000000" w:sz="4" w:space="0"/>
              <w:left w:val="single" w:color="000000" w:sz="4" w:space="0"/>
              <w:bottom w:val="single" w:color="000000" w:sz="4" w:space="0"/>
              <w:right w:val="single" w:color="auto"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3247"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指标解释与计算公式</w:t>
            </w:r>
          </w:p>
        </w:tc>
        <w:tc>
          <w:tcPr>
            <w:tcW w:w="614" w:type="dxa"/>
            <w:tcBorders>
              <w:top w:val="single" w:color="000000" w:sz="4" w:space="0"/>
              <w:left w:val="single" w:color="000000" w:sz="4" w:space="0"/>
              <w:bottom w:val="single" w:color="000000" w:sz="4" w:space="0"/>
              <w:right w:val="single" w:color="auto"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标杆值</w:t>
            </w:r>
          </w:p>
        </w:tc>
        <w:tc>
          <w:tcPr>
            <w:tcW w:w="4605" w:type="dxa"/>
            <w:tcBorders>
              <w:top w:val="single" w:color="000000" w:sz="4" w:space="0"/>
              <w:left w:val="single" w:color="000000" w:sz="4" w:space="0"/>
              <w:bottom w:val="single" w:color="000000" w:sz="4" w:space="0"/>
              <w:right w:val="single" w:color="auto"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评分细则</w:t>
            </w:r>
          </w:p>
        </w:tc>
        <w:tc>
          <w:tcPr>
            <w:tcW w:w="1201"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数据来源与取数方式</w:t>
            </w:r>
          </w:p>
        </w:tc>
        <w:tc>
          <w:tcPr>
            <w:tcW w:w="600"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得分</w:t>
            </w:r>
          </w:p>
        </w:tc>
      </w:tr>
      <w:tr>
        <w:tblPrEx>
          <w:tblCellMar>
            <w:top w:w="15" w:type="dxa"/>
            <w:left w:w="15" w:type="dxa"/>
            <w:bottom w:w="15" w:type="dxa"/>
            <w:right w:w="15" w:type="dxa"/>
          </w:tblCellMar>
        </w:tblPrEx>
        <w:trPr>
          <w:trHeight w:val="1908"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pStyle w:val="8"/>
              <w:ind w:firstLine="420"/>
              <w:rPr>
                <w:rFonts w:ascii="宋体" w:hAnsi="宋体" w:eastAsia="宋体" w:cs="宋体"/>
                <w:sz w:val="21"/>
                <w:szCs w:val="21"/>
              </w:rPr>
            </w:pPr>
          </w:p>
          <w:p>
            <w:pPr>
              <w:ind w:firstLine="0" w:firstLineChars="0"/>
            </w:pP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决策</w:t>
            </w: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pStyle w:val="8"/>
              <w:ind w:firstLine="0" w:firstLineChars="0"/>
              <w:jc w:val="center"/>
            </w:pPr>
          </w:p>
          <w:p>
            <w:pPr>
              <w:spacing w:line="360" w:lineRule="exact"/>
              <w:ind w:firstLine="0" w:firstLineChars="0"/>
              <w:jc w:val="center"/>
              <w:rPr>
                <w:rFonts w:ascii="宋体" w:hAnsi="宋体" w:eastAsia="宋体" w:cs="宋体"/>
                <w:sz w:val="21"/>
                <w:szCs w:val="21"/>
              </w:rPr>
            </w:pP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w:t>
            </w: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both"/>
              <w:rPr>
                <w:rFonts w:ascii="宋体" w:hAnsi="宋体" w:eastAsia="宋体" w:cs="宋体"/>
                <w:sz w:val="21"/>
                <w:szCs w:val="21"/>
              </w:rPr>
            </w:pPr>
          </w:p>
        </w:tc>
        <w:tc>
          <w:tcPr>
            <w:tcW w:w="738" w:type="dxa"/>
            <w:vMerge w:val="restart"/>
            <w:tcBorders>
              <w:top w:val="single" w:color="000000" w:sz="4" w:space="0"/>
              <w:left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A1</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项目</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立项</w:t>
            </w:r>
          </w:p>
          <w:p>
            <w:pPr>
              <w:spacing w:line="360" w:lineRule="exact"/>
              <w:ind w:firstLine="0" w:firstLineChars="0"/>
              <w:jc w:val="center"/>
              <w:rPr>
                <w:rFonts w:ascii="宋体" w:hAnsi="宋体" w:eastAsia="宋体" w:cs="宋体"/>
                <w:sz w:val="21"/>
                <w:szCs w:val="21"/>
              </w:rPr>
            </w:pPr>
          </w:p>
        </w:tc>
        <w:tc>
          <w:tcPr>
            <w:tcW w:w="447" w:type="dxa"/>
            <w:vMerge w:val="restart"/>
            <w:tcBorders>
              <w:top w:val="single" w:color="000000" w:sz="4" w:space="0"/>
              <w:left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6</w:t>
            </w:r>
          </w:p>
        </w:tc>
        <w:tc>
          <w:tcPr>
            <w:tcW w:w="950"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A1-1</w:t>
            </w:r>
          </w:p>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立项依据</w:t>
            </w:r>
          </w:p>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充分性</w:t>
            </w:r>
          </w:p>
        </w:tc>
        <w:tc>
          <w:tcPr>
            <w:tcW w:w="430" w:type="dxa"/>
            <w:tcBorders>
              <w:top w:val="single" w:color="000000" w:sz="4" w:space="0"/>
              <w:left w:val="single" w:color="000000"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3</w:t>
            </w:r>
          </w:p>
        </w:tc>
        <w:tc>
          <w:tcPr>
            <w:tcW w:w="3247" w:type="dxa"/>
            <w:tcBorders>
              <w:top w:val="single" w:color="000000" w:sz="4" w:space="0"/>
              <w:left w:val="single" w:color="auto" w:sz="4" w:space="0"/>
              <w:bottom w:val="single" w:color="auto" w:sz="4" w:space="0"/>
              <w:right w:val="single" w:color="000000" w:sz="4" w:space="0"/>
            </w:tcBorders>
            <w:vAlign w:val="center"/>
          </w:tcPr>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评价项目立项是否符合法律法规、相关政策、发展规划以及部门职责，用以反映和考核项目立项依据情况。</w:t>
            </w:r>
          </w:p>
        </w:tc>
        <w:tc>
          <w:tcPr>
            <w:tcW w:w="614" w:type="dxa"/>
            <w:tcBorders>
              <w:top w:val="single" w:color="000000" w:sz="4" w:space="0"/>
              <w:left w:val="single" w:color="000000"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充分</w:t>
            </w:r>
          </w:p>
        </w:tc>
        <w:tc>
          <w:tcPr>
            <w:tcW w:w="4605" w:type="dxa"/>
            <w:tcBorders>
              <w:top w:val="single" w:color="000000" w:sz="4" w:space="0"/>
              <w:left w:val="single" w:color="000000"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①项目立项符合国家法律法规、国民经济社会发展规划和相关政策。符合得0.6分，否则不得分；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②项目立项符合行业规划和政策要求。符合得0.6分，否则不得分；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③项目立项与永济市交通运输局职责范围相符，属于部门履职所需。符合得0.6分，否则不得分；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④项目属于公共财政支持范围，符合中央、地方事权支出责任划分原则。符合得0.6分，否则不得分；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⑤项目与相关部门同类项目或部门内部相关项目无重复。符合得0.6分，否则不得分。</w:t>
            </w:r>
          </w:p>
        </w:tc>
        <w:tc>
          <w:tcPr>
            <w:tcW w:w="1201" w:type="dxa"/>
            <w:tcBorders>
              <w:top w:val="single" w:color="000000" w:sz="4" w:space="0"/>
              <w:left w:val="single" w:color="auto" w:sz="4" w:space="0"/>
              <w:bottom w:val="single" w:color="auto"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根据山西省、永济市政府文件</w:t>
            </w:r>
          </w:p>
        </w:tc>
        <w:tc>
          <w:tcPr>
            <w:tcW w:w="60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CellMar>
            <w:top w:w="15" w:type="dxa"/>
            <w:left w:w="15" w:type="dxa"/>
            <w:bottom w:w="15" w:type="dxa"/>
            <w:right w:w="15" w:type="dxa"/>
          </w:tblCellMar>
        </w:tblPrEx>
        <w:trPr>
          <w:trHeight w:val="1530" w:hRule="atLeast"/>
          <w:jc w:val="center"/>
        </w:trPr>
        <w:tc>
          <w:tcPr>
            <w:tcW w:w="701"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auto"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A1-2</w:t>
            </w:r>
          </w:p>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立项程序</w:t>
            </w:r>
          </w:p>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规范性</w:t>
            </w:r>
          </w:p>
        </w:tc>
        <w:tc>
          <w:tcPr>
            <w:tcW w:w="430" w:type="dxa"/>
            <w:tcBorders>
              <w:top w:val="single" w:color="auto" w:sz="4" w:space="0"/>
              <w:left w:val="single" w:color="000000"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3</w:t>
            </w:r>
          </w:p>
        </w:tc>
        <w:tc>
          <w:tcPr>
            <w:tcW w:w="3247" w:type="dxa"/>
            <w:tcBorders>
              <w:top w:val="single" w:color="auto" w:sz="4" w:space="0"/>
              <w:left w:val="single" w:color="auto" w:sz="4" w:space="0"/>
              <w:bottom w:val="single" w:color="auto" w:sz="4" w:space="0"/>
              <w:right w:val="single" w:color="000000" w:sz="4" w:space="0"/>
            </w:tcBorders>
            <w:vAlign w:val="center"/>
          </w:tcPr>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评价项目的申请、设立过程是否符合相关要求，用以反映和考核项目立项的规范情况。</w:t>
            </w:r>
          </w:p>
        </w:tc>
        <w:tc>
          <w:tcPr>
            <w:tcW w:w="614" w:type="dxa"/>
            <w:tcBorders>
              <w:top w:val="single" w:color="auto" w:sz="4" w:space="0"/>
              <w:left w:val="single" w:color="000000"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规范</w:t>
            </w:r>
          </w:p>
        </w:tc>
        <w:tc>
          <w:tcPr>
            <w:tcW w:w="4605" w:type="dxa"/>
            <w:tcBorders>
              <w:top w:val="single" w:color="auto" w:sz="4" w:space="0"/>
              <w:left w:val="single" w:color="000000"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①项目按照规定的程序申请设立。满足得1分，否则不得分；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②审批文件、材料符合相关要求。满足得1分，否则不得分；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③事前已经过必要的可行性研究、专家论证、风险评估、绩效评估、集体决策。满足得1分，否则不得分。</w:t>
            </w:r>
          </w:p>
        </w:tc>
        <w:tc>
          <w:tcPr>
            <w:tcW w:w="1201" w:type="dxa"/>
            <w:tcBorders>
              <w:top w:val="single" w:color="auto" w:sz="4" w:space="0"/>
              <w:left w:val="single" w:color="auto" w:sz="4" w:space="0"/>
              <w:bottom w:val="single" w:color="auto"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根据永济市交通运输局的项目可行性报告、财政评审意见等文件</w:t>
            </w:r>
          </w:p>
        </w:tc>
        <w:tc>
          <w:tcPr>
            <w:tcW w:w="600"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CellMar>
            <w:top w:w="15" w:type="dxa"/>
            <w:left w:w="15" w:type="dxa"/>
            <w:bottom w:w="15" w:type="dxa"/>
            <w:right w:w="15" w:type="dxa"/>
          </w:tblCellMar>
        </w:tblPrEx>
        <w:trPr>
          <w:trHeight w:val="3694"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决策</w:t>
            </w: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w:t>
            </w:r>
          </w:p>
        </w:tc>
        <w:tc>
          <w:tcPr>
            <w:tcW w:w="738" w:type="dxa"/>
            <w:vMerge w:val="restart"/>
            <w:tcBorders>
              <w:top w:val="single" w:color="auto" w:sz="4" w:space="0"/>
              <w:left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A2</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绩效</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目标</w:t>
            </w:r>
          </w:p>
          <w:p>
            <w:pPr>
              <w:spacing w:line="360" w:lineRule="exact"/>
              <w:ind w:firstLine="0" w:firstLineChars="0"/>
              <w:jc w:val="center"/>
              <w:rPr>
                <w:rFonts w:ascii="宋体" w:hAnsi="宋体" w:eastAsia="宋体" w:cs="宋体"/>
                <w:sz w:val="21"/>
                <w:szCs w:val="21"/>
              </w:rPr>
            </w:pPr>
          </w:p>
        </w:tc>
        <w:tc>
          <w:tcPr>
            <w:tcW w:w="447" w:type="dxa"/>
            <w:vMerge w:val="restart"/>
            <w:tcBorders>
              <w:top w:val="single" w:color="auto" w:sz="4" w:space="0"/>
              <w:left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7</w:t>
            </w:r>
          </w:p>
        </w:tc>
        <w:tc>
          <w:tcPr>
            <w:tcW w:w="950" w:type="dxa"/>
            <w:tcBorders>
              <w:top w:val="single" w:color="auto"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A2-1</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绩效目标</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合理性</w:t>
            </w:r>
          </w:p>
        </w:tc>
        <w:tc>
          <w:tcPr>
            <w:tcW w:w="430" w:type="dxa"/>
            <w:tcBorders>
              <w:top w:val="single" w:color="000000" w:sz="4" w:space="0"/>
              <w:left w:val="single" w:color="000000"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3247" w:type="dxa"/>
            <w:tcBorders>
              <w:top w:val="single" w:color="000000" w:sz="4" w:space="0"/>
              <w:left w:val="single" w:color="auto" w:sz="4" w:space="0"/>
              <w:bottom w:val="single" w:color="auto" w:sz="4" w:space="0"/>
              <w:right w:val="single" w:color="000000"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项目所设定的绩效目标是否依据充分，是否符合客观实际，用以反映和考核项目绩效目标与项目实施的相符情况。</w:t>
            </w:r>
          </w:p>
        </w:tc>
        <w:tc>
          <w:tcPr>
            <w:tcW w:w="614" w:type="dxa"/>
            <w:tcBorders>
              <w:top w:val="single" w:color="000000" w:sz="4" w:space="0"/>
              <w:left w:val="single" w:color="000000"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合理</w:t>
            </w:r>
          </w:p>
        </w:tc>
        <w:tc>
          <w:tcPr>
            <w:tcW w:w="4605" w:type="dxa"/>
            <w:tcBorders>
              <w:top w:val="single" w:color="000000" w:sz="4" w:space="0"/>
              <w:left w:val="single" w:color="000000"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①项目有绩效目标或工作任务目标。项目有绩效目标且目标合理，得1分，否则不得分；</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②绩效目标与实际工作内容具有相关性。相关得1分，否则不得分；</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③项目预期产出效益和效果符合正常的业绩水平。符合得1分，否则不得分；</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④绩效目标与预算确定的项目投资额或资金量相匹配。匹配得1分，否则不得分。</w:t>
            </w:r>
          </w:p>
        </w:tc>
        <w:tc>
          <w:tcPr>
            <w:tcW w:w="1201" w:type="dxa"/>
            <w:tcBorders>
              <w:top w:val="single" w:color="auto" w:sz="4" w:space="0"/>
              <w:left w:val="single" w:color="auto" w:sz="4" w:space="0"/>
              <w:bottom w:val="single" w:color="auto"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根据永济市交通运输局提供的绩效申报表等</w:t>
            </w:r>
          </w:p>
        </w:tc>
        <w:tc>
          <w:tcPr>
            <w:tcW w:w="600"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4</w:t>
            </w:r>
          </w:p>
        </w:tc>
      </w:tr>
      <w:tr>
        <w:tblPrEx>
          <w:tblCellMar>
            <w:top w:w="15" w:type="dxa"/>
            <w:left w:w="15" w:type="dxa"/>
            <w:bottom w:w="15" w:type="dxa"/>
            <w:right w:w="15" w:type="dxa"/>
          </w:tblCellMar>
        </w:tblPrEx>
        <w:trPr>
          <w:trHeight w:val="3207" w:hRule="atLeast"/>
          <w:jc w:val="center"/>
        </w:trPr>
        <w:tc>
          <w:tcPr>
            <w:tcW w:w="701"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000000"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A2-2</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绩效指标</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明确性</w:t>
            </w:r>
          </w:p>
        </w:tc>
        <w:tc>
          <w:tcPr>
            <w:tcW w:w="430" w:type="dxa"/>
            <w:tcBorders>
              <w:top w:val="single" w:color="auto" w:sz="4" w:space="0"/>
              <w:left w:val="single" w:color="000000" w:sz="4" w:space="0"/>
              <w:bottom w:val="single" w:color="000000"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w:t>
            </w:r>
          </w:p>
        </w:tc>
        <w:tc>
          <w:tcPr>
            <w:tcW w:w="3247" w:type="dxa"/>
            <w:tcBorders>
              <w:top w:val="single" w:color="auto" w:sz="4" w:space="0"/>
              <w:left w:val="single" w:color="auto" w:sz="4" w:space="0"/>
              <w:bottom w:val="single" w:color="000000" w:sz="4" w:space="0"/>
              <w:right w:val="single" w:color="000000"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绩效目标是否明确：绩效目标是否可量化；项目预定目标设置合规，是否与预算相匹配。</w:t>
            </w:r>
          </w:p>
        </w:tc>
        <w:tc>
          <w:tcPr>
            <w:tcW w:w="614" w:type="dxa"/>
            <w:tcBorders>
              <w:top w:val="single" w:color="auto" w:sz="4" w:space="0"/>
              <w:left w:val="single" w:color="000000" w:sz="4" w:space="0"/>
              <w:bottom w:val="single" w:color="000000"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明确</w:t>
            </w:r>
          </w:p>
        </w:tc>
        <w:tc>
          <w:tcPr>
            <w:tcW w:w="4605" w:type="dxa"/>
            <w:tcBorders>
              <w:top w:val="single" w:color="auto" w:sz="4" w:space="0"/>
              <w:left w:val="single" w:color="000000" w:sz="4" w:space="0"/>
              <w:bottom w:val="single" w:color="000000"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①将项目绩效目标细化分解为具体的绩效指标。指标具体得1分，1处不具体扣0.5分；</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②通过清晰、可衡量的指标值予以体现。完全满足得1分，1处不满足扣0.5分；</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③绩效指标与项目目标任务数或计划数相对应。完全对应得1分，1出不对应扣0.5分。</w:t>
            </w:r>
          </w:p>
        </w:tc>
        <w:tc>
          <w:tcPr>
            <w:tcW w:w="1201" w:type="dxa"/>
            <w:tcBorders>
              <w:top w:val="single" w:color="auto"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根据永济市交通运输局提供的绩效申报表、财政评审意见等</w:t>
            </w:r>
          </w:p>
        </w:tc>
        <w:tc>
          <w:tcPr>
            <w:tcW w:w="600" w:type="dxa"/>
            <w:tcBorders>
              <w:top w:val="single" w:color="auto"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CellMar>
            <w:top w:w="15" w:type="dxa"/>
            <w:left w:w="15" w:type="dxa"/>
            <w:bottom w:w="15" w:type="dxa"/>
            <w:right w:w="15" w:type="dxa"/>
          </w:tblCellMar>
        </w:tblPrEx>
        <w:trPr>
          <w:trHeight w:val="4635"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决策</w:t>
            </w: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w:t>
            </w:r>
          </w:p>
        </w:tc>
        <w:tc>
          <w:tcPr>
            <w:tcW w:w="738" w:type="dxa"/>
            <w:vMerge w:val="restart"/>
            <w:tcBorders>
              <w:top w:val="single" w:color="000000" w:sz="4" w:space="0"/>
              <w:left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A3</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资金</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投入</w:t>
            </w:r>
          </w:p>
        </w:tc>
        <w:tc>
          <w:tcPr>
            <w:tcW w:w="447" w:type="dxa"/>
            <w:vMerge w:val="restart"/>
            <w:tcBorders>
              <w:top w:val="single" w:color="000000" w:sz="4" w:space="0"/>
              <w:left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7</w:t>
            </w:r>
          </w:p>
        </w:tc>
        <w:tc>
          <w:tcPr>
            <w:tcW w:w="950"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A3-1</w:t>
            </w: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预算编制</w:t>
            </w: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科学性</w:t>
            </w:r>
          </w:p>
          <w:p>
            <w:pPr>
              <w:adjustRightInd w:val="0"/>
              <w:snapToGrid w:val="0"/>
              <w:spacing w:line="300" w:lineRule="exact"/>
              <w:ind w:firstLine="0" w:firstLineChars="0"/>
              <w:jc w:val="center"/>
              <w:textAlignment w:val="center"/>
              <w:rPr>
                <w:rFonts w:ascii="宋体" w:hAnsi="宋体" w:eastAsia="宋体" w:cs="宋体"/>
                <w:kern w:val="0"/>
                <w:sz w:val="21"/>
                <w:szCs w:val="21"/>
              </w:rPr>
            </w:pPr>
          </w:p>
        </w:tc>
        <w:tc>
          <w:tcPr>
            <w:tcW w:w="430"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3247"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项目预算编制是否经过科学论证、有明确标准，资金额度与年度目标是否相适应，用以反映和考核项目预算编制的科学性、合理性情况。</w:t>
            </w:r>
          </w:p>
        </w:tc>
        <w:tc>
          <w:tcPr>
            <w:tcW w:w="614"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科学</w:t>
            </w:r>
          </w:p>
        </w:tc>
        <w:tc>
          <w:tcPr>
            <w:tcW w:w="4605"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①预算编制经过事前可行性论证。满足得1分，否则不得分；</w:t>
            </w:r>
          </w:p>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②预算内容与项目内容匹配。完全匹配得1分，1处不匹配扣0.5分；</w:t>
            </w:r>
          </w:p>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③预算额度测算依据充分，按照标准编制。充分得1分，1处不充分扣0.5分；</w:t>
            </w:r>
          </w:p>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④预算确定的项目投资额或资金量与工作任务相匹配。完全匹配得1分，1处不匹配扣0.5分。</w:t>
            </w:r>
          </w:p>
        </w:tc>
        <w:tc>
          <w:tcPr>
            <w:tcW w:w="1201"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根据永济市交通运输局提供的项目可行性报告、财政评审意见等</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4</w:t>
            </w:r>
          </w:p>
        </w:tc>
      </w:tr>
      <w:tr>
        <w:tblPrEx>
          <w:tblCellMar>
            <w:top w:w="15" w:type="dxa"/>
            <w:left w:w="15" w:type="dxa"/>
            <w:bottom w:w="15" w:type="dxa"/>
            <w:right w:w="15" w:type="dxa"/>
          </w:tblCellMar>
        </w:tblPrEx>
        <w:trPr>
          <w:trHeight w:val="2901" w:hRule="atLeast"/>
          <w:jc w:val="center"/>
        </w:trPr>
        <w:tc>
          <w:tcPr>
            <w:tcW w:w="701" w:type="dxa"/>
            <w:vMerge w:val="continue"/>
            <w:tcBorders>
              <w:left w:val="single" w:color="auto" w:sz="4" w:space="0"/>
              <w:bottom w:val="single" w:color="auto" w:sz="4" w:space="0"/>
              <w:right w:val="single" w:color="auto" w:sz="4" w:space="0"/>
            </w:tcBorders>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A3-2</w:t>
            </w: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资金分配</w:t>
            </w: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合理性</w:t>
            </w:r>
          </w:p>
          <w:p>
            <w:pPr>
              <w:adjustRightInd w:val="0"/>
              <w:snapToGrid w:val="0"/>
              <w:spacing w:line="300" w:lineRule="exact"/>
              <w:ind w:firstLine="0" w:firstLineChars="0"/>
              <w:jc w:val="center"/>
              <w:textAlignment w:val="center"/>
              <w:rPr>
                <w:rFonts w:ascii="宋体" w:hAnsi="宋体" w:eastAsia="宋体" w:cs="宋体"/>
                <w:kern w:val="0"/>
                <w:sz w:val="21"/>
                <w:szCs w:val="21"/>
              </w:rPr>
            </w:pPr>
          </w:p>
        </w:tc>
        <w:tc>
          <w:tcPr>
            <w:tcW w:w="430" w:type="dxa"/>
            <w:tcBorders>
              <w:top w:val="single" w:color="000000" w:sz="4" w:space="0"/>
              <w:left w:val="single" w:color="000000" w:sz="4" w:space="0"/>
              <w:bottom w:val="single" w:color="auto" w:sz="4" w:space="0"/>
              <w:right w:val="single" w:color="auto"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w:t>
            </w:r>
          </w:p>
        </w:tc>
        <w:tc>
          <w:tcPr>
            <w:tcW w:w="3247" w:type="dxa"/>
            <w:tcBorders>
              <w:top w:val="single" w:color="000000" w:sz="4" w:space="0"/>
              <w:left w:val="single" w:color="auto" w:sz="4" w:space="0"/>
              <w:bottom w:val="single" w:color="auto" w:sz="4" w:space="0"/>
              <w:right w:val="single" w:color="000000" w:sz="4" w:space="0"/>
            </w:tcBorders>
            <w:vAlign w:val="center"/>
          </w:tcPr>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项目预算资金分配是否有测算依据，与补助单位是否相适应，用以反映和考核项目预算资金分配的科学性、合理性情况。</w:t>
            </w:r>
          </w:p>
        </w:tc>
        <w:tc>
          <w:tcPr>
            <w:tcW w:w="614"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合理</w:t>
            </w:r>
          </w:p>
        </w:tc>
        <w:tc>
          <w:tcPr>
            <w:tcW w:w="4605"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①预算资金分配依据充分。充分得1.5分，1处不充分扣0.5分；</w:t>
            </w:r>
          </w:p>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②资金分配额度合理，与项目单位实际相适应。合理得1.5分，1处不充分扣0.5分。</w:t>
            </w:r>
          </w:p>
        </w:tc>
        <w:tc>
          <w:tcPr>
            <w:tcW w:w="1201"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根据永济市交通运输局提供的项目可行性报告、财政评审意见等</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CellMar>
            <w:top w:w="15" w:type="dxa"/>
            <w:left w:w="15" w:type="dxa"/>
            <w:bottom w:w="15" w:type="dxa"/>
            <w:right w:w="15" w:type="dxa"/>
          </w:tblCellMar>
        </w:tblPrEx>
        <w:trPr>
          <w:trHeight w:val="1985"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B</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过程</w:t>
            </w:r>
          </w:p>
          <w:p>
            <w:pPr>
              <w:spacing w:line="360" w:lineRule="exact"/>
              <w:ind w:firstLine="0" w:firstLineChars="0"/>
              <w:jc w:val="both"/>
              <w:rPr>
                <w:rFonts w:ascii="宋体" w:hAnsi="宋体" w:eastAsia="宋体" w:cs="宋体"/>
                <w:sz w:val="21"/>
                <w:szCs w:val="21"/>
              </w:rPr>
            </w:pP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w:t>
            </w:r>
          </w:p>
          <w:p>
            <w:pPr>
              <w:spacing w:line="360" w:lineRule="exact"/>
              <w:ind w:firstLine="0" w:firstLineChars="0"/>
              <w:jc w:val="center"/>
              <w:rPr>
                <w:rFonts w:ascii="宋体" w:hAnsi="宋体" w:eastAsia="宋体" w:cs="宋体"/>
                <w:sz w:val="21"/>
                <w:szCs w:val="21"/>
              </w:rPr>
            </w:pPr>
          </w:p>
        </w:tc>
        <w:tc>
          <w:tcPr>
            <w:tcW w:w="738"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B1</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资金</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管理</w:t>
            </w:r>
          </w:p>
          <w:p>
            <w:pPr>
              <w:spacing w:line="360" w:lineRule="exact"/>
              <w:ind w:firstLine="0" w:firstLineChars="0"/>
              <w:jc w:val="center"/>
              <w:rPr>
                <w:rFonts w:ascii="宋体" w:hAnsi="宋体" w:eastAsia="宋体" w:cs="宋体"/>
                <w:sz w:val="21"/>
                <w:szCs w:val="21"/>
              </w:rPr>
            </w:pPr>
          </w:p>
        </w:tc>
        <w:tc>
          <w:tcPr>
            <w:tcW w:w="447"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8</w:t>
            </w:r>
          </w:p>
        </w:tc>
        <w:tc>
          <w:tcPr>
            <w:tcW w:w="95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B1-1</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资金到位率</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实际到位资金与预算资金的比率，用以反映和考核资金落实情况对项目实施的总体保障程度。资金到位率=（实际到位资金/预算资金）×100%。</w:t>
            </w:r>
          </w:p>
        </w:tc>
        <w:tc>
          <w:tcPr>
            <w:tcW w:w="614" w:type="dxa"/>
            <w:tcBorders>
              <w:top w:val="single" w:color="000000"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100%</w:t>
            </w:r>
          </w:p>
        </w:tc>
        <w:tc>
          <w:tcPr>
            <w:tcW w:w="4605" w:type="dxa"/>
            <w:tcBorders>
              <w:top w:val="single" w:color="000000"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资金到位率100%，得2分；60%≤资金到位率＜100%，按比例计算得分；资金到位率＜60%，不得分。</w:t>
            </w:r>
          </w:p>
        </w:tc>
        <w:tc>
          <w:tcPr>
            <w:tcW w:w="1201" w:type="dxa"/>
            <w:tcBorders>
              <w:top w:val="single" w:color="000000" w:sz="4" w:space="0"/>
              <w:left w:val="single" w:color="auto" w:sz="4" w:space="0"/>
              <w:bottom w:val="single" w:color="auto" w:sz="4" w:space="0"/>
              <w:right w:val="single" w:color="000000"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根据永济市交通运输局提供的会计凭证、资金下达文件等</w:t>
            </w:r>
          </w:p>
        </w:tc>
        <w:tc>
          <w:tcPr>
            <w:tcW w:w="60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r>
      <w:tr>
        <w:tblPrEx>
          <w:tblCellMar>
            <w:top w:w="15" w:type="dxa"/>
            <w:left w:w="15" w:type="dxa"/>
            <w:bottom w:w="15" w:type="dxa"/>
            <w:right w:w="15" w:type="dxa"/>
          </w:tblCellMar>
        </w:tblPrEx>
        <w:trPr>
          <w:trHeight w:val="2250" w:hRule="atLeast"/>
          <w:jc w:val="center"/>
        </w:trPr>
        <w:tc>
          <w:tcPr>
            <w:tcW w:w="701"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B1-2</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预算执行率</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项目预算资金是否按照计划执行，用以反映或考核项目预算执行情况。预算执行率=（实际支出资金/实际到位资金）×100%。</w:t>
            </w:r>
          </w:p>
        </w:tc>
        <w:tc>
          <w:tcPr>
            <w:tcW w:w="614" w:type="dxa"/>
            <w:tcBorders>
              <w:top w:val="single" w:color="000000"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95%</w:t>
            </w:r>
          </w:p>
        </w:tc>
        <w:tc>
          <w:tcPr>
            <w:tcW w:w="4605" w:type="dxa"/>
            <w:tcBorders>
              <w:top w:val="single" w:color="000000"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预算执行率≥95%，得2分，60%≤预算执行率＜95%时，按比例计算得分；预算执行率＜60%时，不得分。</w:t>
            </w:r>
          </w:p>
        </w:tc>
        <w:tc>
          <w:tcPr>
            <w:tcW w:w="1201" w:type="dxa"/>
            <w:tcBorders>
              <w:top w:val="single" w:color="000000" w:sz="4" w:space="0"/>
              <w:left w:val="single" w:color="auto" w:sz="4" w:space="0"/>
              <w:bottom w:val="single" w:color="auto" w:sz="4" w:space="0"/>
              <w:right w:val="single" w:color="000000"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根据永济市交通运输局提供的会计凭证、资金下达文件等</w:t>
            </w:r>
          </w:p>
        </w:tc>
        <w:tc>
          <w:tcPr>
            <w:tcW w:w="60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1.71</w:t>
            </w:r>
          </w:p>
        </w:tc>
      </w:tr>
      <w:tr>
        <w:tblPrEx>
          <w:tblCellMar>
            <w:top w:w="15" w:type="dxa"/>
            <w:left w:w="15" w:type="dxa"/>
            <w:bottom w:w="15" w:type="dxa"/>
            <w:right w:w="15" w:type="dxa"/>
          </w:tblCellMar>
        </w:tblPrEx>
        <w:trPr>
          <w:trHeight w:val="3180" w:hRule="atLeast"/>
          <w:jc w:val="center"/>
        </w:trPr>
        <w:tc>
          <w:tcPr>
            <w:tcW w:w="701"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B1-3</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资金使用</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合规性</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项目资金使用是否符合相关的财务管理制度规定，用以反映和考核项目资金的规范运行情况。</w:t>
            </w:r>
          </w:p>
        </w:tc>
        <w:tc>
          <w:tcPr>
            <w:tcW w:w="6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合规</w:t>
            </w:r>
          </w:p>
        </w:tc>
        <w:tc>
          <w:tcPr>
            <w:tcW w:w="4605" w:type="dxa"/>
            <w:tcBorders>
              <w:top w:val="single" w:color="000000"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①符合国家财经法规和财务管理制度以及有关专项资金管理办法的规定。符合得1分，否则不得分；</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②资金的拨付有完整的审批程序和手续。满足得1分，1处不符合扣0.5分；</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③资金使用符合项目预算批复或合同规定的用途。符合得1分，1处不符合扣0.5分；</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④不存在截留、挤占、挪用、虚列支出等情况。符合得1分，否则不得分。</w:t>
            </w:r>
          </w:p>
        </w:tc>
        <w:tc>
          <w:tcPr>
            <w:tcW w:w="1201" w:type="dxa"/>
            <w:tcBorders>
              <w:top w:val="single" w:color="000000" w:sz="4" w:space="0"/>
              <w:left w:val="single" w:color="auto" w:sz="4" w:space="0"/>
              <w:bottom w:val="single" w:color="auto" w:sz="4" w:space="0"/>
              <w:right w:val="single" w:color="000000"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根据永济市交通运输局提供的会计凭证等</w:t>
            </w:r>
          </w:p>
        </w:tc>
        <w:tc>
          <w:tcPr>
            <w:tcW w:w="60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r>
      <w:tr>
        <w:tblPrEx>
          <w:tblCellMar>
            <w:top w:w="15" w:type="dxa"/>
            <w:left w:w="15" w:type="dxa"/>
            <w:bottom w:w="15" w:type="dxa"/>
            <w:right w:w="15" w:type="dxa"/>
          </w:tblCellMar>
        </w:tblPrEx>
        <w:trPr>
          <w:trHeight w:val="1895" w:hRule="atLeast"/>
          <w:jc w:val="center"/>
        </w:trPr>
        <w:tc>
          <w:tcPr>
            <w:tcW w:w="701" w:type="dxa"/>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过程</w:t>
            </w:r>
          </w:p>
          <w:p>
            <w:pPr>
              <w:widowControl/>
              <w:spacing w:line="240" w:lineRule="auto"/>
              <w:ind w:firstLine="0" w:firstLineChars="0"/>
              <w:jc w:val="center"/>
              <w:textAlignment w:val="center"/>
              <w:rPr>
                <w:rFonts w:ascii="宋体" w:hAnsi="宋体" w:eastAsia="宋体" w:cs="宋体"/>
                <w:kern w:val="0"/>
                <w:sz w:val="21"/>
                <w:szCs w:val="21"/>
              </w:rPr>
            </w:pPr>
          </w:p>
        </w:tc>
        <w:tc>
          <w:tcPr>
            <w:tcW w:w="409" w:type="dxa"/>
            <w:vMerge w:val="restart"/>
            <w:tcBorders>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20</w:t>
            </w:r>
          </w:p>
        </w:tc>
        <w:tc>
          <w:tcPr>
            <w:tcW w:w="738" w:type="dxa"/>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B2</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组织</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实施</w:t>
            </w:r>
          </w:p>
        </w:tc>
        <w:tc>
          <w:tcPr>
            <w:tcW w:w="447" w:type="dxa"/>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12</w:t>
            </w:r>
          </w:p>
          <w:p>
            <w:pPr>
              <w:widowControl/>
              <w:spacing w:line="240" w:lineRule="auto"/>
              <w:ind w:firstLine="0" w:firstLineChars="0"/>
              <w:jc w:val="center"/>
              <w:textAlignment w:val="center"/>
              <w:rPr>
                <w:rFonts w:ascii="宋体" w:hAnsi="宋体" w:eastAsia="宋体" w:cs="宋体"/>
                <w:kern w:val="0"/>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B2-1</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管理制度</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健全性</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项目实施单位的业务和财务管理制度是否健全，用以反映和考核财务、业务管理制度对项目顺利实施的保障情况。</w:t>
            </w:r>
          </w:p>
        </w:tc>
        <w:tc>
          <w:tcPr>
            <w:tcW w:w="614" w:type="dxa"/>
            <w:tcBorders>
              <w:top w:val="single" w:color="000000"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健全</w:t>
            </w:r>
          </w:p>
        </w:tc>
        <w:tc>
          <w:tcPr>
            <w:tcW w:w="4605" w:type="dxa"/>
            <w:tcBorders>
              <w:top w:val="single" w:color="000000"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①已制定或具有相应的业务和财务管理制度，得2分，1项不满足扣1分，扣完为止；</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②管理和财务制度合法合规，详细完整，对相关资金的申请、审批、运用等作了具体规定，得2分，1项不满足扣1分，扣完为止；</w:t>
            </w:r>
          </w:p>
        </w:tc>
        <w:tc>
          <w:tcPr>
            <w:tcW w:w="1201" w:type="dxa"/>
            <w:tcBorders>
              <w:top w:val="single" w:color="000000" w:sz="4" w:space="0"/>
              <w:left w:val="single" w:color="auto" w:sz="4" w:space="0"/>
              <w:bottom w:val="single" w:color="auto" w:sz="4" w:space="0"/>
              <w:right w:val="single" w:color="000000"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根据永济市交通运输局提供的项目管理制度等文件</w:t>
            </w:r>
          </w:p>
        </w:tc>
        <w:tc>
          <w:tcPr>
            <w:tcW w:w="60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3.5</w:t>
            </w:r>
          </w:p>
        </w:tc>
      </w:tr>
      <w:tr>
        <w:tblPrEx>
          <w:tblCellMar>
            <w:top w:w="15" w:type="dxa"/>
            <w:left w:w="15" w:type="dxa"/>
            <w:bottom w:w="15" w:type="dxa"/>
            <w:right w:w="15" w:type="dxa"/>
          </w:tblCellMar>
        </w:tblPrEx>
        <w:trPr>
          <w:trHeight w:val="2635" w:hRule="atLeast"/>
          <w:jc w:val="center"/>
        </w:trPr>
        <w:tc>
          <w:tcPr>
            <w:tcW w:w="701"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09"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738"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both"/>
              <w:textAlignment w:val="center"/>
              <w:rPr>
                <w:rFonts w:ascii="宋体" w:hAnsi="宋体" w:eastAsia="宋体" w:cs="宋体"/>
                <w:kern w:val="0"/>
                <w:sz w:val="21"/>
                <w:szCs w:val="21"/>
              </w:rPr>
            </w:pPr>
          </w:p>
        </w:tc>
        <w:tc>
          <w:tcPr>
            <w:tcW w:w="447"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B2-2</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制度执行</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有效性</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8</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项目实施是否符合相关管理规定，用以反映和考核相关管理制度的有效执行情况。</w:t>
            </w:r>
          </w:p>
        </w:tc>
        <w:tc>
          <w:tcPr>
            <w:tcW w:w="614" w:type="dxa"/>
            <w:tcBorders>
              <w:top w:val="single" w:color="000000" w:sz="4" w:space="0"/>
              <w:left w:val="single" w:color="auto" w:sz="4" w:space="0"/>
              <w:bottom w:val="single" w:color="000000"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有效</w:t>
            </w:r>
          </w:p>
        </w:tc>
        <w:tc>
          <w:tcPr>
            <w:tcW w:w="4605" w:type="dxa"/>
            <w:tcBorders>
              <w:top w:val="single" w:color="000000" w:sz="4" w:space="0"/>
              <w:left w:val="single" w:color="auto" w:sz="4" w:space="0"/>
              <w:bottom w:val="single" w:color="000000"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①项目实施流程规范，有相关部门审批手续。全部满足得1分，1项不满足扣0.5分，扣完为止；</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②项目施工有完整、合理的施工图纸及施工方案，并严格按照图纸及方案执行，全部满足得1分，1项不满足扣0.5分，扣完为止；</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③项目施工、监理等单位的选择是否经过招投标程序。全部符合得1分，否则不得分；</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④项目申请报告、合同等资料真实完整并建档备查。全部满足得1分，1项不满足扣0.5分，扣完为止；</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⑤项目是否成立领导组，不定期对项目进行监督检查。符合得1分，否则不得分</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⑥项目完工后经相关单位验收确认质量情况。全部满足得1分，否则不得分；</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⑦项目竣工验收后是否出具有审计报表等。全部满足得1分，否则不得分；</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⑧永济市交通运输局是否有自评报告，自评报告是否客观、真实、完整，全部满足得1分，有一项不满足扣0.5分。</w:t>
            </w:r>
          </w:p>
        </w:tc>
        <w:tc>
          <w:tcPr>
            <w:tcW w:w="1201" w:type="dxa"/>
            <w:tcBorders>
              <w:top w:val="single" w:color="000000" w:sz="4" w:space="0"/>
              <w:left w:val="single" w:color="auto" w:sz="4" w:space="0"/>
              <w:bottom w:val="single" w:color="000000" w:sz="4" w:space="0"/>
              <w:right w:val="single" w:color="000000"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根据项目监理报告、验收报告等文件</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4</w:t>
            </w:r>
          </w:p>
        </w:tc>
      </w:tr>
      <w:tr>
        <w:tblPrEx>
          <w:tblCellMar>
            <w:top w:w="15" w:type="dxa"/>
            <w:left w:w="15" w:type="dxa"/>
            <w:bottom w:w="15" w:type="dxa"/>
            <w:right w:w="15" w:type="dxa"/>
          </w:tblCellMar>
        </w:tblPrEx>
        <w:trPr>
          <w:trHeight w:val="1725" w:hRule="atLeast"/>
          <w:jc w:val="center"/>
        </w:trPr>
        <w:tc>
          <w:tcPr>
            <w:tcW w:w="701" w:type="dxa"/>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产出</w:t>
            </w:r>
          </w:p>
        </w:tc>
        <w:tc>
          <w:tcPr>
            <w:tcW w:w="409" w:type="dxa"/>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30</w:t>
            </w:r>
          </w:p>
        </w:tc>
        <w:tc>
          <w:tcPr>
            <w:tcW w:w="738" w:type="dxa"/>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C1</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产出</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数量</w:t>
            </w:r>
          </w:p>
        </w:tc>
        <w:tc>
          <w:tcPr>
            <w:tcW w:w="447" w:type="dxa"/>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C1-1</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项目</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完成率</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12</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项目实施的实际完成情况与计划完成情况的比较，用以反映和考核项目产出数量目标的实现程度。完成率=（实际数/计划数）。</w:t>
            </w:r>
          </w:p>
        </w:tc>
        <w:tc>
          <w:tcPr>
            <w:tcW w:w="61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100%</w:t>
            </w: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①张营至文学段长17.178千米。达标得2分，否则不得分；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②杨马至万固寺段长3.27千米。达标得2分，否则不得分；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③西敬庄至张营段6.227千米。达标得2分，否则不得分；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④雪花山至万固寺东段（一标）长4.725千米。达标得2分，否则不得分；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⑤雪花山至万固寺东段（二标）长4.739千米。达标得2分，否则不得分；</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sz w:val="21"/>
                <w:szCs w:val="21"/>
              </w:rPr>
              <w:t>⑥安保工程：波形护栏16460米、交通标志144块、交通标线8838.3平方米、里程碑20个、百米桩185个。达标得2分，1项不达标扣0.4分。</w:t>
            </w:r>
          </w:p>
        </w:tc>
        <w:tc>
          <w:tcPr>
            <w:tcW w:w="120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根据施工资料、监理资料等文件</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8.4</w:t>
            </w:r>
          </w:p>
        </w:tc>
      </w:tr>
      <w:tr>
        <w:tblPrEx>
          <w:tblCellMar>
            <w:top w:w="15" w:type="dxa"/>
            <w:left w:w="15" w:type="dxa"/>
            <w:bottom w:w="15" w:type="dxa"/>
            <w:right w:w="15" w:type="dxa"/>
          </w:tblCellMar>
        </w:tblPrEx>
        <w:trPr>
          <w:trHeight w:val="840" w:hRule="atLeast"/>
          <w:jc w:val="center"/>
        </w:trPr>
        <w:tc>
          <w:tcPr>
            <w:tcW w:w="701" w:type="dxa"/>
            <w:vMerge w:val="continue"/>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09" w:type="dxa"/>
            <w:vMerge w:val="continue"/>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C2</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产出</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质量</w:t>
            </w:r>
          </w:p>
        </w:tc>
        <w:tc>
          <w:tcPr>
            <w:tcW w:w="4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C2-1</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验收</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合格率</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项目验收合格率，用以反映和考核项目产出质量目标的实现程度。</w:t>
            </w:r>
          </w:p>
        </w:tc>
        <w:tc>
          <w:tcPr>
            <w:tcW w:w="614"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100%</w:t>
            </w:r>
          </w:p>
        </w:tc>
        <w:tc>
          <w:tcPr>
            <w:tcW w:w="4605"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验收合格率达到100%，得10分，1项不满足扣2分，扣完为止。</w:t>
            </w:r>
          </w:p>
        </w:tc>
        <w:tc>
          <w:tcPr>
            <w:tcW w:w="1201" w:type="dxa"/>
            <w:tcBorders>
              <w:top w:val="single" w:color="auto"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根据验收报告等文件</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8</w:t>
            </w:r>
          </w:p>
        </w:tc>
      </w:tr>
      <w:tr>
        <w:tblPrEx>
          <w:tblCellMar>
            <w:top w:w="15" w:type="dxa"/>
            <w:left w:w="15" w:type="dxa"/>
            <w:bottom w:w="15" w:type="dxa"/>
            <w:right w:w="15" w:type="dxa"/>
          </w:tblCellMar>
        </w:tblPrEx>
        <w:trPr>
          <w:trHeight w:val="1265" w:hRule="atLeast"/>
          <w:jc w:val="center"/>
        </w:trPr>
        <w:tc>
          <w:tcPr>
            <w:tcW w:w="701" w:type="dxa"/>
            <w:vMerge w:val="continue"/>
            <w:tcBorders>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09" w:type="dxa"/>
            <w:vMerge w:val="continue"/>
            <w:tcBorders>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C3</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产出</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时效</w:t>
            </w:r>
          </w:p>
        </w:tc>
        <w:tc>
          <w:tcPr>
            <w:tcW w:w="4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C3-1</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完成</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及时性</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项目实际完成时间与计划完成时间的比较，用以反映和考核项目产出时效目标的实现程度。</w:t>
            </w:r>
          </w:p>
        </w:tc>
        <w:tc>
          <w:tcPr>
            <w:tcW w:w="614" w:type="dxa"/>
            <w:tcBorders>
              <w:top w:val="single" w:color="000000" w:sz="4" w:space="0"/>
              <w:left w:val="single" w:color="auto" w:sz="4" w:space="0"/>
              <w:bottom w:val="single" w:color="000000"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及时</w:t>
            </w:r>
          </w:p>
        </w:tc>
        <w:tc>
          <w:tcPr>
            <w:tcW w:w="4605" w:type="dxa"/>
            <w:tcBorders>
              <w:top w:val="single" w:color="000000" w:sz="4" w:space="0"/>
              <w:left w:val="single" w:color="auto" w:sz="4" w:space="0"/>
              <w:bottom w:val="single" w:color="000000"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项目按合同规定时间开工、完工，满足得4分，1项不满足扣2分。</w:t>
            </w:r>
          </w:p>
        </w:tc>
        <w:tc>
          <w:tcPr>
            <w:tcW w:w="1201" w:type="dxa"/>
            <w:tcBorders>
              <w:top w:val="single" w:color="000000"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根据工程合同和验收报告</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r>
      <w:tr>
        <w:tblPrEx>
          <w:tblCellMar>
            <w:top w:w="15" w:type="dxa"/>
            <w:left w:w="15" w:type="dxa"/>
            <w:bottom w:w="15" w:type="dxa"/>
            <w:right w:w="15" w:type="dxa"/>
          </w:tblCellMar>
        </w:tblPrEx>
        <w:trPr>
          <w:trHeight w:val="1230" w:hRule="atLeast"/>
          <w:jc w:val="center"/>
        </w:trPr>
        <w:tc>
          <w:tcPr>
            <w:tcW w:w="701"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09"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C4</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产出</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成本</w:t>
            </w:r>
          </w:p>
        </w:tc>
        <w:tc>
          <w:tcPr>
            <w:tcW w:w="4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C4-1</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成本节约率</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项目实际成本与预算成本相比，用以反映和考核项目成本节约情况。成本节约率=（计划成本-实际成本）/计划成本*100%。</w:t>
            </w:r>
          </w:p>
        </w:tc>
        <w:tc>
          <w:tcPr>
            <w:tcW w:w="614" w:type="dxa"/>
            <w:tcBorders>
              <w:top w:val="single" w:color="000000" w:sz="4" w:space="0"/>
              <w:left w:val="single" w:color="auto" w:sz="4" w:space="0"/>
              <w:bottom w:val="single" w:color="000000"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≥0</w:t>
            </w:r>
          </w:p>
        </w:tc>
        <w:tc>
          <w:tcPr>
            <w:tcW w:w="4605" w:type="dxa"/>
            <w:tcBorders>
              <w:top w:val="single" w:color="000000" w:sz="4" w:space="0"/>
              <w:left w:val="single" w:color="auto" w:sz="4" w:space="0"/>
              <w:bottom w:val="single" w:color="000000"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成本节约率≥0，得4分；-10%≤成本节约率＜0，得3分；-20%≤成本节约率＜-10%，得1分；成本节约率在-10%以下，不得分。</w:t>
            </w:r>
          </w:p>
        </w:tc>
        <w:tc>
          <w:tcPr>
            <w:tcW w:w="1201" w:type="dxa"/>
            <w:tcBorders>
              <w:top w:val="single" w:color="000000"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根据合同、审计报告等</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4</w:t>
            </w:r>
          </w:p>
        </w:tc>
      </w:tr>
      <w:tr>
        <w:tblPrEx>
          <w:tblCellMar>
            <w:top w:w="15" w:type="dxa"/>
            <w:left w:w="15" w:type="dxa"/>
            <w:bottom w:w="15" w:type="dxa"/>
            <w:right w:w="15" w:type="dxa"/>
          </w:tblCellMar>
        </w:tblPrEx>
        <w:trPr>
          <w:trHeight w:val="1228"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D</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效益</w:t>
            </w: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30</w:t>
            </w: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社会</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效益</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5</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D1-1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改善交通路网情况</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5</w:t>
            </w:r>
          </w:p>
        </w:tc>
        <w:tc>
          <w:tcPr>
            <w:tcW w:w="32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项目实施对社会发展所带来的直接或间接影响情况。</w:t>
            </w:r>
          </w:p>
        </w:tc>
        <w:tc>
          <w:tcPr>
            <w:tcW w:w="614"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改善</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改善周边地区交通路网结构，促进省旅游业转型升级。得5分，否则不得分。</w:t>
            </w: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根据问卷调查、现场走访</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5</w:t>
            </w:r>
          </w:p>
        </w:tc>
      </w:tr>
      <w:tr>
        <w:tblPrEx>
          <w:tblCellMar>
            <w:top w:w="15" w:type="dxa"/>
            <w:left w:w="15" w:type="dxa"/>
            <w:bottom w:w="15" w:type="dxa"/>
            <w:right w:w="15" w:type="dxa"/>
          </w:tblCellMar>
        </w:tblPrEx>
        <w:trPr>
          <w:trHeight w:val="1118" w:hRule="atLeast"/>
          <w:jc w:val="center"/>
        </w:trPr>
        <w:tc>
          <w:tcPr>
            <w:tcW w:w="701"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D2</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经济</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效益</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5</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D2-1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促进经济发展</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5</w:t>
            </w:r>
          </w:p>
        </w:tc>
        <w:tc>
          <w:tcPr>
            <w:tcW w:w="32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项目实施对经济发展所带来的直接或间接经济效益。</w:t>
            </w:r>
          </w:p>
        </w:tc>
        <w:tc>
          <w:tcPr>
            <w:tcW w:w="614"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促进</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项目建成后，提升公路服务水平，服务经济作物的运输，促进农产品外销，提高农民收入；串联旅游景点，促进全域旅游发展，提高旅游收入得5分，否则不得分。</w:t>
            </w: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根据问卷调查、现场走访</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5</w:t>
            </w:r>
          </w:p>
        </w:tc>
      </w:tr>
      <w:tr>
        <w:tblPrEx>
          <w:tblCellMar>
            <w:top w:w="15" w:type="dxa"/>
            <w:left w:w="15" w:type="dxa"/>
            <w:bottom w:w="15" w:type="dxa"/>
            <w:right w:w="15" w:type="dxa"/>
          </w:tblCellMar>
        </w:tblPrEx>
        <w:trPr>
          <w:trHeight w:val="1380" w:hRule="atLeast"/>
          <w:jc w:val="center"/>
        </w:trPr>
        <w:tc>
          <w:tcPr>
            <w:tcW w:w="701"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D3</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生态</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效益</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5</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D3-1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美化环境</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5</w:t>
            </w:r>
          </w:p>
        </w:tc>
        <w:tc>
          <w:tcPr>
            <w:tcW w:w="32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项目实施对生态环境所带来的直接或间接影响情况。</w:t>
            </w:r>
          </w:p>
        </w:tc>
        <w:tc>
          <w:tcPr>
            <w:tcW w:w="614"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美化</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项目实施后，使道路基础设施得到改善，减少灰尘量，使旅游线路周边环境更加美观，得5分，否则不得分。</w:t>
            </w: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根据问卷调查、现场走访</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5</w:t>
            </w:r>
          </w:p>
        </w:tc>
      </w:tr>
      <w:tr>
        <w:tblPrEx>
          <w:tblCellMar>
            <w:top w:w="15" w:type="dxa"/>
            <w:left w:w="15" w:type="dxa"/>
            <w:bottom w:w="15" w:type="dxa"/>
            <w:right w:w="15" w:type="dxa"/>
          </w:tblCellMar>
        </w:tblPrEx>
        <w:trPr>
          <w:trHeight w:val="1625" w:hRule="atLeast"/>
          <w:jc w:val="center"/>
        </w:trPr>
        <w:tc>
          <w:tcPr>
            <w:tcW w:w="701"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D4</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可持续影响</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5</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D4-1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可持续利用性</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5</w:t>
            </w:r>
          </w:p>
        </w:tc>
        <w:tc>
          <w:tcPr>
            <w:tcW w:w="32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项目后续运行及成效发挥的可持续影响情况。</w:t>
            </w:r>
          </w:p>
        </w:tc>
        <w:tc>
          <w:tcPr>
            <w:tcW w:w="614"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可持续</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①项目具有可持续利用性，得3分，否则不得分；②永济市交通运输局制定了项目后期管护制度，提高项目的后期管护工作，得2分，否则不得分。</w:t>
            </w: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根据永济市交通运输局后期管护制度等</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CellMar>
            <w:top w:w="15" w:type="dxa"/>
            <w:left w:w="15" w:type="dxa"/>
            <w:bottom w:w="15" w:type="dxa"/>
            <w:right w:w="15" w:type="dxa"/>
          </w:tblCellMar>
        </w:tblPrEx>
        <w:trPr>
          <w:trHeight w:val="1275" w:hRule="atLeast"/>
          <w:jc w:val="center"/>
        </w:trPr>
        <w:tc>
          <w:tcPr>
            <w:tcW w:w="701"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D5</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满意度</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10</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D5-1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受益群众</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满意度</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10</w:t>
            </w:r>
          </w:p>
        </w:tc>
        <w:tc>
          <w:tcPr>
            <w:tcW w:w="32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受益群众对项目实施效果得满意程度。</w:t>
            </w:r>
          </w:p>
        </w:tc>
        <w:tc>
          <w:tcPr>
            <w:tcW w:w="614"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≥96%</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对受益群众进行问卷调查、获取项目的满意程度情况，根据调查问卷结果综合汇总。</w:t>
            </w:r>
          </w:p>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满意度≥96%，得10分，满意度＜60%不得分，60%≤满意度＜96%，得分=10*（满意度-60%）/（96%-60%）。</w:t>
            </w: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根据问卷调查结果得分</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8.42</w:t>
            </w:r>
          </w:p>
        </w:tc>
      </w:tr>
      <w:tr>
        <w:tblPrEx>
          <w:tblCellMar>
            <w:top w:w="15" w:type="dxa"/>
            <w:left w:w="15" w:type="dxa"/>
            <w:bottom w:w="15" w:type="dxa"/>
            <w:right w:w="15" w:type="dxa"/>
          </w:tblCellMar>
        </w:tblPrEx>
        <w:trPr>
          <w:trHeight w:val="387"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合计</w:t>
            </w:r>
          </w:p>
        </w:tc>
        <w:tc>
          <w:tcPr>
            <w:tcW w:w="4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100</w:t>
            </w: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100</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100</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textAlignment w:val="center"/>
              <w:rPr>
                <w:rFonts w:ascii="宋体" w:hAnsi="宋体" w:eastAsia="宋体" w:cs="宋体"/>
                <w:b/>
                <w:bCs/>
                <w:kern w:val="0"/>
                <w:sz w:val="21"/>
                <w:szCs w:val="21"/>
              </w:rPr>
            </w:pPr>
          </w:p>
        </w:tc>
        <w:tc>
          <w:tcPr>
            <w:tcW w:w="614" w:type="dxa"/>
            <w:tcBorders>
              <w:top w:val="single" w:color="000000"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p>
        </w:tc>
        <w:tc>
          <w:tcPr>
            <w:tcW w:w="4605" w:type="dxa"/>
            <w:tcBorders>
              <w:top w:val="single" w:color="000000"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p>
        </w:tc>
        <w:tc>
          <w:tcPr>
            <w:tcW w:w="1201" w:type="dxa"/>
            <w:tcBorders>
              <w:top w:val="single" w:color="000000" w:sz="4" w:space="0"/>
              <w:left w:val="single" w:color="auto" w:sz="4" w:space="0"/>
              <w:bottom w:val="single" w:color="auto" w:sz="4" w:space="0"/>
              <w:right w:val="single" w:color="000000" w:sz="4" w:space="0"/>
            </w:tcBorders>
            <w:vAlign w:val="center"/>
          </w:tcPr>
          <w:p>
            <w:pPr>
              <w:spacing w:line="240" w:lineRule="auto"/>
              <w:ind w:firstLine="0" w:firstLineChars="0"/>
              <w:jc w:val="center"/>
              <w:rPr>
                <w:rFonts w:ascii="宋体" w:hAnsi="宋体" w:eastAsia="宋体" w:cs="宋体"/>
                <w:b/>
                <w:bCs/>
                <w:sz w:val="21"/>
                <w:szCs w:val="21"/>
              </w:rPr>
            </w:pPr>
          </w:p>
        </w:tc>
        <w:tc>
          <w:tcPr>
            <w:tcW w:w="600" w:type="dxa"/>
            <w:tcBorders>
              <w:top w:val="single" w:color="000000" w:sz="4" w:space="0"/>
              <w:left w:val="single" w:color="auto" w:sz="4" w:space="0"/>
              <w:bottom w:val="single" w:color="auto" w:sz="4" w:space="0"/>
              <w:right w:val="single" w:color="000000" w:sz="4" w:space="0"/>
            </w:tcBorders>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8</w:t>
            </w:r>
            <w:r>
              <w:rPr>
                <w:rFonts w:hint="eastAsia" w:ascii="宋体" w:hAnsi="宋体" w:eastAsia="宋体" w:cs="宋体"/>
                <w:b/>
                <w:bCs/>
                <w:sz w:val="21"/>
                <w:szCs w:val="21"/>
                <w:lang w:val="en-US" w:eastAsia="zh-CN"/>
              </w:rPr>
              <w:t>4</w:t>
            </w:r>
            <w:r>
              <w:rPr>
                <w:rFonts w:hint="eastAsia" w:ascii="宋体" w:hAnsi="宋体" w:eastAsia="宋体" w:cs="宋体"/>
                <w:b/>
                <w:bCs/>
                <w:sz w:val="21"/>
                <w:szCs w:val="21"/>
              </w:rPr>
              <w:t>.03</w:t>
            </w:r>
          </w:p>
        </w:tc>
      </w:tr>
    </w:tbl>
    <w:p>
      <w:pPr>
        <w:ind w:firstLine="562"/>
        <w:rPr>
          <w:rFonts w:ascii="仿宋" w:hAnsi="仿宋" w:cs="仿宋"/>
          <w:b/>
          <w:bCs/>
          <w:sz w:val="28"/>
          <w:szCs w:val="28"/>
        </w:rPr>
        <w:sectPr>
          <w:pgSz w:w="16838" w:h="11906" w:orient="landscape"/>
          <w:pgMar w:top="2041" w:right="1417" w:bottom="1417" w:left="1531" w:header="851" w:footer="992" w:gutter="0"/>
          <w:cols w:space="720" w:num="1"/>
          <w:docGrid w:type="lines" w:linePitch="312" w:charSpace="0"/>
        </w:sectPr>
      </w:pPr>
    </w:p>
    <w:p>
      <w:pPr>
        <w:spacing w:line="240" w:lineRule="auto"/>
        <w:ind w:firstLine="0" w:firstLineChars="0"/>
        <w:outlineLvl w:val="0"/>
        <w:rPr>
          <w:rFonts w:ascii="黑体" w:hAnsi="黑体" w:eastAsia="黑体" w:cs="黑体"/>
          <w:b/>
          <w:bCs/>
          <w:kern w:val="44"/>
          <w:szCs w:val="32"/>
        </w:rPr>
      </w:pPr>
      <w:bookmarkStart w:id="170" w:name="_Toc8479"/>
      <w:bookmarkStart w:id="171" w:name="_Toc8038"/>
      <w:r>
        <w:rPr>
          <w:rFonts w:hint="eastAsia" w:ascii="黑体" w:hAnsi="黑体" w:eastAsia="黑体" w:cs="黑体"/>
          <w:b/>
          <w:bCs/>
          <w:kern w:val="44"/>
          <w:szCs w:val="32"/>
        </w:rPr>
        <w:t>附件2</w:t>
      </w:r>
      <w:bookmarkEnd w:id="170"/>
    </w:p>
    <w:p>
      <w:pPr>
        <w:spacing w:line="240" w:lineRule="auto"/>
        <w:ind w:firstLine="0" w:firstLineChars="0"/>
        <w:jc w:val="center"/>
        <w:rPr>
          <w:rFonts w:ascii="仿宋_GB2312" w:hAnsi="仿宋_GB2312" w:eastAsia="仿宋_GB2312" w:cs="仿宋_GB2312"/>
          <w:b/>
          <w:bCs/>
          <w:szCs w:val="32"/>
        </w:rPr>
      </w:pPr>
      <w:bookmarkStart w:id="172" w:name="_Toc15947"/>
      <w:r>
        <w:rPr>
          <w:rFonts w:hint="eastAsia" w:ascii="仿宋_GB2312" w:hAnsi="仿宋_GB2312" w:eastAsia="仿宋_GB2312" w:cs="仿宋_GB2312"/>
          <w:b/>
          <w:bCs/>
          <w:szCs w:val="32"/>
          <w:lang w:val="zh-CN"/>
        </w:rPr>
        <w:t>绩效评价</w:t>
      </w:r>
      <w:r>
        <w:rPr>
          <w:rFonts w:hint="eastAsia" w:ascii="仿宋_GB2312" w:hAnsi="仿宋_GB2312" w:eastAsia="仿宋_GB2312" w:cs="仿宋_GB2312"/>
          <w:b/>
          <w:bCs/>
          <w:szCs w:val="32"/>
        </w:rPr>
        <w:t>评分表</w:t>
      </w:r>
      <w:bookmarkEnd w:id="172"/>
    </w:p>
    <w:tbl>
      <w:tblPr>
        <w:tblStyle w:val="15"/>
        <w:tblW w:w="934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454"/>
        <w:gridCol w:w="1549"/>
        <w:gridCol w:w="3975"/>
        <w:gridCol w:w="1185"/>
        <w:gridCol w:w="11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tblHeader/>
          <w:jc w:val="center"/>
        </w:trPr>
        <w:tc>
          <w:tcPr>
            <w:tcW w:w="1454"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一级指标</w:t>
            </w:r>
          </w:p>
        </w:tc>
        <w:tc>
          <w:tcPr>
            <w:tcW w:w="1549"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二级指标</w:t>
            </w:r>
          </w:p>
        </w:tc>
        <w:tc>
          <w:tcPr>
            <w:tcW w:w="3975"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三级指标</w:t>
            </w:r>
          </w:p>
        </w:tc>
        <w:tc>
          <w:tcPr>
            <w:tcW w:w="1185"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kern w:val="0"/>
                <w:sz w:val="21"/>
                <w:szCs w:val="20"/>
              </w:rPr>
            </w:pPr>
            <w:r>
              <w:rPr>
                <w:rFonts w:hint="eastAsia" w:ascii="宋体" w:hAnsi="宋体" w:eastAsia="宋体" w:cs="宋体"/>
                <w:b/>
                <w:kern w:val="0"/>
                <w:sz w:val="21"/>
                <w:szCs w:val="20"/>
              </w:rPr>
              <w:t>分值</w:t>
            </w:r>
          </w:p>
        </w:tc>
        <w:tc>
          <w:tcPr>
            <w:tcW w:w="1185"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kern w:val="0"/>
                <w:sz w:val="21"/>
                <w:szCs w:val="20"/>
              </w:rPr>
            </w:pPr>
            <w:r>
              <w:rPr>
                <w:rFonts w:hint="eastAsia" w:ascii="宋体" w:hAnsi="宋体" w:eastAsia="宋体" w:cs="宋体"/>
                <w:b/>
                <w:kern w:val="0"/>
                <w:sz w:val="21"/>
                <w:szCs w:val="20"/>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A决策</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（20分）</w:t>
            </w:r>
          </w:p>
        </w:tc>
        <w:tc>
          <w:tcPr>
            <w:tcW w:w="154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A1项目立项</w:t>
            </w:r>
          </w:p>
        </w:tc>
        <w:tc>
          <w:tcPr>
            <w:tcW w:w="3975" w:type="dxa"/>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A1-1立项依据充分性</w:t>
            </w:r>
          </w:p>
        </w:tc>
        <w:tc>
          <w:tcPr>
            <w:tcW w:w="1185" w:type="dxa"/>
            <w:tcBorders>
              <w:bottom w:val="single" w:color="auto" w:sz="4" w:space="0"/>
            </w:tcBorders>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c>
          <w:tcPr>
            <w:tcW w:w="1185" w:type="dxa"/>
            <w:tcBorders>
              <w:bottom w:val="single" w:color="auto" w:sz="4" w:space="0"/>
            </w:tcBorders>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397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A1-2立项程序规范性</w:t>
            </w:r>
          </w:p>
        </w:tc>
        <w:tc>
          <w:tcPr>
            <w:tcW w:w="1185" w:type="dxa"/>
            <w:tcBorders>
              <w:top w:val="single" w:color="auto" w:sz="4" w:space="0"/>
              <w:bottom w:val="single" w:color="auto" w:sz="4" w:space="0"/>
            </w:tcBorders>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c>
          <w:tcPr>
            <w:tcW w:w="1185" w:type="dxa"/>
            <w:tcBorders>
              <w:top w:val="single" w:color="auto" w:sz="4" w:space="0"/>
              <w:bottom w:val="single" w:color="auto" w:sz="4" w:space="0"/>
            </w:tcBorders>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A2绩效目标</w:t>
            </w:r>
          </w:p>
        </w:tc>
        <w:tc>
          <w:tcPr>
            <w:tcW w:w="397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A2-1绩效目标合理性</w:t>
            </w:r>
          </w:p>
        </w:tc>
        <w:tc>
          <w:tcPr>
            <w:tcW w:w="1185" w:type="dxa"/>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4</w:t>
            </w:r>
          </w:p>
        </w:tc>
        <w:tc>
          <w:tcPr>
            <w:tcW w:w="1185" w:type="dxa"/>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397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A2-2绩效指标明确性</w:t>
            </w:r>
          </w:p>
        </w:tc>
        <w:tc>
          <w:tcPr>
            <w:tcW w:w="1185" w:type="dxa"/>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c>
          <w:tcPr>
            <w:tcW w:w="1185" w:type="dxa"/>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A3资金投入</w:t>
            </w:r>
          </w:p>
        </w:tc>
        <w:tc>
          <w:tcPr>
            <w:tcW w:w="397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A3-1预算编制科学性</w:t>
            </w:r>
          </w:p>
        </w:tc>
        <w:tc>
          <w:tcPr>
            <w:tcW w:w="118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c>
          <w:tcPr>
            <w:tcW w:w="118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397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A3-2资金分配合理性</w:t>
            </w:r>
          </w:p>
        </w:tc>
        <w:tc>
          <w:tcPr>
            <w:tcW w:w="118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c>
          <w:tcPr>
            <w:tcW w:w="118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B过程</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（20分）</w:t>
            </w: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B1资金管理</w:t>
            </w:r>
          </w:p>
          <w:p>
            <w:pPr>
              <w:spacing w:line="260" w:lineRule="exact"/>
              <w:ind w:firstLine="0" w:firstLineChars="0"/>
              <w:jc w:val="center"/>
              <w:rPr>
                <w:rFonts w:ascii="宋体" w:hAnsi="宋体" w:eastAsia="宋体" w:cs="宋体"/>
                <w:sz w:val="21"/>
                <w:szCs w:val="20"/>
              </w:rPr>
            </w:pPr>
          </w:p>
        </w:tc>
        <w:tc>
          <w:tcPr>
            <w:tcW w:w="397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B1-1资金到位率</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397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B1-2预算执行率</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397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B1-3资金使用合规性</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c>
          <w:tcPr>
            <w:tcW w:w="1185" w:type="dxa"/>
            <w:tcBorders>
              <w:top w:val="single" w:color="auto" w:sz="4" w:space="0"/>
              <w:bottom w:val="single" w:color="auto" w:sz="4" w:space="0"/>
            </w:tcBorders>
            <w:vAlign w:val="center"/>
          </w:tcPr>
          <w:p>
            <w:pPr>
              <w:spacing w:line="260" w:lineRule="exact"/>
              <w:ind w:firstLine="0" w:firstLineChars="0"/>
              <w:jc w:val="center"/>
              <w:rPr>
                <w:rFonts w:hint="eastAsia" w:ascii="宋体" w:hAnsi="宋体" w:eastAsia="宋体" w:cs="宋体"/>
                <w:sz w:val="21"/>
                <w:szCs w:val="20"/>
                <w:lang w:val="en-US" w:eastAsia="zh-CN"/>
              </w:rPr>
            </w:pPr>
            <w:r>
              <w:rPr>
                <w:rFonts w:hint="eastAsia" w:ascii="宋体" w:hAnsi="宋体" w:eastAsia="宋体" w:cs="宋体"/>
                <w:sz w:val="21"/>
                <w:szCs w:val="20"/>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B2组织实施</w:t>
            </w:r>
          </w:p>
        </w:tc>
        <w:tc>
          <w:tcPr>
            <w:tcW w:w="397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B2-1管理制度健全性</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397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B2-2制度执行有效性</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8</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C产出</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（30分）</w:t>
            </w:r>
          </w:p>
        </w:tc>
        <w:tc>
          <w:tcPr>
            <w:tcW w:w="1549"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C1产出数量</w:t>
            </w:r>
          </w:p>
        </w:tc>
        <w:tc>
          <w:tcPr>
            <w:tcW w:w="397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C1-1项目完成率</w:t>
            </w:r>
          </w:p>
        </w:tc>
        <w:tc>
          <w:tcPr>
            <w:tcW w:w="118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12</w:t>
            </w:r>
          </w:p>
        </w:tc>
        <w:tc>
          <w:tcPr>
            <w:tcW w:w="118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8.4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C2产出质量</w:t>
            </w:r>
          </w:p>
        </w:tc>
        <w:tc>
          <w:tcPr>
            <w:tcW w:w="397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C2-1验收合格率</w:t>
            </w:r>
          </w:p>
        </w:tc>
        <w:tc>
          <w:tcPr>
            <w:tcW w:w="1185" w:type="dxa"/>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10</w:t>
            </w:r>
          </w:p>
        </w:tc>
        <w:tc>
          <w:tcPr>
            <w:tcW w:w="1185" w:type="dxa"/>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C3产出时效</w:t>
            </w:r>
          </w:p>
        </w:tc>
        <w:tc>
          <w:tcPr>
            <w:tcW w:w="397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C3-1完成及时性</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C4产出成本</w:t>
            </w:r>
          </w:p>
        </w:tc>
        <w:tc>
          <w:tcPr>
            <w:tcW w:w="397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C4-1成本节约率</w:t>
            </w:r>
          </w:p>
        </w:tc>
        <w:tc>
          <w:tcPr>
            <w:tcW w:w="118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c>
          <w:tcPr>
            <w:tcW w:w="118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D效益</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（30分）</w:t>
            </w: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D1社会效益</w:t>
            </w:r>
          </w:p>
        </w:tc>
        <w:tc>
          <w:tcPr>
            <w:tcW w:w="397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D1-1</w:t>
            </w:r>
            <w:r>
              <w:rPr>
                <w:rFonts w:hint="eastAsia" w:ascii="宋体" w:hAnsi="宋体" w:eastAsia="宋体" w:cs="宋体"/>
                <w:sz w:val="21"/>
                <w:szCs w:val="21"/>
              </w:rPr>
              <w:t>改善交通路网情况</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D2经济效益</w:t>
            </w:r>
          </w:p>
        </w:tc>
        <w:tc>
          <w:tcPr>
            <w:tcW w:w="397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D2-1促进经济发展</w:t>
            </w:r>
          </w:p>
        </w:tc>
        <w:tc>
          <w:tcPr>
            <w:tcW w:w="118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c>
          <w:tcPr>
            <w:tcW w:w="118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D3生态效益</w:t>
            </w:r>
          </w:p>
        </w:tc>
        <w:tc>
          <w:tcPr>
            <w:tcW w:w="397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D3-1美化环境</w:t>
            </w:r>
          </w:p>
        </w:tc>
        <w:tc>
          <w:tcPr>
            <w:tcW w:w="118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c>
          <w:tcPr>
            <w:tcW w:w="118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D4可持续影响</w:t>
            </w:r>
          </w:p>
        </w:tc>
        <w:tc>
          <w:tcPr>
            <w:tcW w:w="397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D4-1可持续利用性</w:t>
            </w:r>
          </w:p>
        </w:tc>
        <w:tc>
          <w:tcPr>
            <w:tcW w:w="118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c>
          <w:tcPr>
            <w:tcW w:w="118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D5满意度</w:t>
            </w:r>
          </w:p>
        </w:tc>
        <w:tc>
          <w:tcPr>
            <w:tcW w:w="397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D5-1受益对象满意度</w:t>
            </w:r>
          </w:p>
        </w:tc>
        <w:tc>
          <w:tcPr>
            <w:tcW w:w="118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10</w:t>
            </w:r>
          </w:p>
        </w:tc>
        <w:tc>
          <w:tcPr>
            <w:tcW w:w="118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8.42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0" w:hRule="exact"/>
          <w:jc w:val="center"/>
        </w:trPr>
        <w:tc>
          <w:tcPr>
            <w:tcW w:w="1454" w:type="dxa"/>
            <w:tcBorders>
              <w:top w:val="single" w:color="auto" w:sz="4" w:space="0"/>
            </w:tcBorders>
            <w:vAlign w:val="center"/>
          </w:tcPr>
          <w:p>
            <w:pPr>
              <w:widowControl/>
              <w:spacing w:line="260" w:lineRule="exact"/>
              <w:ind w:firstLine="0" w:firstLineChars="0"/>
              <w:jc w:val="center"/>
              <w:textAlignment w:val="center"/>
              <w:rPr>
                <w:rFonts w:ascii="宋体" w:hAnsi="宋体" w:eastAsia="宋体" w:cs="宋体"/>
                <w:b/>
                <w:bCs/>
                <w:sz w:val="21"/>
                <w:szCs w:val="20"/>
              </w:rPr>
            </w:pPr>
            <w:r>
              <w:rPr>
                <w:rFonts w:hint="eastAsia" w:ascii="宋体" w:hAnsi="宋体" w:eastAsia="宋体" w:cs="宋体"/>
                <w:b/>
                <w:bCs/>
                <w:kern w:val="0"/>
                <w:sz w:val="21"/>
                <w:szCs w:val="20"/>
              </w:rPr>
              <w:t>总分</w:t>
            </w: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b/>
                <w:bCs/>
                <w:sz w:val="21"/>
                <w:szCs w:val="20"/>
              </w:rPr>
            </w:pPr>
          </w:p>
        </w:tc>
        <w:tc>
          <w:tcPr>
            <w:tcW w:w="3975" w:type="dxa"/>
            <w:vAlign w:val="center"/>
          </w:tcPr>
          <w:p>
            <w:pPr>
              <w:spacing w:line="260" w:lineRule="exact"/>
              <w:ind w:firstLine="0" w:firstLineChars="0"/>
              <w:jc w:val="center"/>
              <w:rPr>
                <w:rFonts w:ascii="宋体" w:hAnsi="宋体" w:eastAsia="宋体" w:cs="宋体"/>
                <w:b/>
                <w:bCs/>
                <w:sz w:val="21"/>
                <w:szCs w:val="20"/>
              </w:rPr>
            </w:pPr>
          </w:p>
        </w:tc>
        <w:tc>
          <w:tcPr>
            <w:tcW w:w="1185" w:type="dxa"/>
            <w:vAlign w:val="center"/>
          </w:tcPr>
          <w:p>
            <w:pPr>
              <w:spacing w:line="260" w:lineRule="exact"/>
              <w:ind w:firstLine="0" w:firstLineChars="0"/>
              <w:jc w:val="center"/>
              <w:textAlignment w:val="center"/>
              <w:rPr>
                <w:rFonts w:ascii="宋体" w:hAnsi="宋体" w:eastAsia="宋体" w:cs="宋体"/>
                <w:b/>
                <w:bCs/>
                <w:kern w:val="0"/>
                <w:sz w:val="21"/>
                <w:szCs w:val="20"/>
              </w:rPr>
            </w:pPr>
            <w:r>
              <w:rPr>
                <w:rFonts w:hint="eastAsia" w:ascii="宋体" w:hAnsi="宋体" w:eastAsia="宋体" w:cs="宋体"/>
                <w:b/>
                <w:bCs/>
                <w:kern w:val="0"/>
                <w:sz w:val="21"/>
                <w:szCs w:val="20"/>
              </w:rPr>
              <w:t>100</w:t>
            </w:r>
          </w:p>
        </w:tc>
        <w:tc>
          <w:tcPr>
            <w:tcW w:w="1185" w:type="dxa"/>
            <w:vAlign w:val="center"/>
          </w:tcPr>
          <w:p>
            <w:pPr>
              <w:spacing w:line="260" w:lineRule="exact"/>
              <w:ind w:firstLine="0" w:firstLineChars="0"/>
              <w:jc w:val="center"/>
              <w:textAlignment w:val="center"/>
              <w:rPr>
                <w:rFonts w:ascii="宋体" w:hAnsi="宋体" w:eastAsia="宋体" w:cs="宋体"/>
                <w:b/>
                <w:bCs/>
                <w:kern w:val="0"/>
                <w:sz w:val="21"/>
                <w:szCs w:val="20"/>
              </w:rPr>
            </w:pPr>
            <w:r>
              <w:rPr>
                <w:rFonts w:hint="eastAsia" w:ascii="宋体" w:hAnsi="宋体" w:eastAsia="宋体" w:cs="宋体"/>
                <w:b/>
                <w:bCs/>
                <w:kern w:val="0"/>
                <w:sz w:val="21"/>
                <w:szCs w:val="20"/>
              </w:rPr>
              <w:t>8</w:t>
            </w:r>
            <w:r>
              <w:rPr>
                <w:rFonts w:hint="eastAsia" w:ascii="宋体" w:hAnsi="宋体" w:eastAsia="宋体" w:cs="宋体"/>
                <w:b/>
                <w:bCs/>
                <w:kern w:val="0"/>
                <w:sz w:val="21"/>
                <w:szCs w:val="20"/>
                <w:lang w:val="en-US" w:eastAsia="zh-CN"/>
              </w:rPr>
              <w:t>4</w:t>
            </w:r>
            <w:r>
              <w:rPr>
                <w:rFonts w:hint="eastAsia" w:ascii="宋体" w:hAnsi="宋体" w:eastAsia="宋体" w:cs="宋体"/>
                <w:b/>
                <w:bCs/>
                <w:kern w:val="0"/>
                <w:sz w:val="21"/>
                <w:szCs w:val="20"/>
              </w:rPr>
              <w:t>.03</w:t>
            </w:r>
          </w:p>
        </w:tc>
      </w:tr>
    </w:tbl>
    <w:p>
      <w:pPr>
        <w:spacing w:line="240" w:lineRule="auto"/>
        <w:ind w:firstLine="0" w:firstLineChars="0"/>
        <w:jc w:val="both"/>
        <w:rPr>
          <w:rFonts w:ascii="仿宋_GB2312" w:hAnsi="仿宋_GB2312" w:eastAsia="仿宋_GB2312" w:cs="仿宋_GB2312"/>
          <w:b/>
          <w:bCs/>
          <w:szCs w:val="32"/>
        </w:rPr>
        <w:sectPr>
          <w:footerReference r:id="rId16" w:type="default"/>
          <w:pgSz w:w="11906" w:h="16838"/>
          <w:pgMar w:top="2041" w:right="1417" w:bottom="1417" w:left="1531" w:header="851" w:footer="992" w:gutter="0"/>
          <w:cols w:space="425" w:num="1"/>
          <w:docGrid w:type="lines" w:linePitch="312" w:charSpace="0"/>
        </w:sectPr>
      </w:pPr>
    </w:p>
    <w:p>
      <w:pPr>
        <w:ind w:firstLine="0" w:firstLineChars="0"/>
        <w:outlineLvl w:val="0"/>
        <w:rPr>
          <w:rFonts w:ascii="黑体" w:hAnsi="黑体" w:eastAsia="黑体" w:cs="黑体"/>
          <w:b/>
          <w:bCs/>
          <w:kern w:val="44"/>
          <w:szCs w:val="32"/>
        </w:rPr>
      </w:pPr>
      <w:bookmarkStart w:id="173" w:name="_Toc25285"/>
      <w:r>
        <w:rPr>
          <w:rFonts w:hint="eastAsia" w:ascii="黑体" w:hAnsi="黑体" w:eastAsia="黑体" w:cs="黑体"/>
          <w:b/>
          <w:bCs/>
          <w:kern w:val="44"/>
          <w:szCs w:val="32"/>
        </w:rPr>
        <w:t>附件</w:t>
      </w:r>
      <w:bookmarkEnd w:id="173"/>
      <w:r>
        <w:rPr>
          <w:rFonts w:hint="eastAsia" w:ascii="黑体" w:hAnsi="黑体" w:eastAsia="黑体" w:cs="黑体"/>
          <w:b/>
          <w:bCs/>
          <w:kern w:val="44"/>
          <w:szCs w:val="32"/>
        </w:rPr>
        <w:t>3</w:t>
      </w:r>
    </w:p>
    <w:p>
      <w:pPr>
        <w:ind w:firstLine="643"/>
        <w:jc w:val="center"/>
        <w:rPr>
          <w:rFonts w:ascii="仿宋_GB2312" w:hAnsi="仿宋_GB2312" w:eastAsia="仿宋_GB2312" w:cs="仿宋_GB2312"/>
          <w:b/>
          <w:bCs/>
          <w:szCs w:val="32"/>
        </w:rPr>
      </w:pPr>
      <w:r>
        <w:rPr>
          <w:rFonts w:hint="eastAsia" w:ascii="仿宋_GB2312" w:hAnsi="仿宋_GB2312" w:eastAsia="仿宋_GB2312" w:cs="仿宋_GB2312"/>
          <w:b/>
          <w:bCs/>
          <w:szCs w:val="32"/>
        </w:rPr>
        <w:t>永济沿黄旅游公路改建工程</w:t>
      </w:r>
    </w:p>
    <w:p>
      <w:pPr>
        <w:ind w:firstLine="643"/>
        <w:jc w:val="center"/>
        <w:rPr>
          <w:rFonts w:ascii="仿宋" w:hAnsi="仿宋" w:eastAsia="仿宋_GB2312" w:cs="仿宋"/>
          <w:sz w:val="28"/>
          <w:szCs w:val="28"/>
        </w:rPr>
      </w:pPr>
      <w:r>
        <w:rPr>
          <w:rFonts w:hint="eastAsia" w:ascii="仿宋_GB2312" w:hAnsi="仿宋_GB2312" w:eastAsia="仿宋_GB2312" w:cs="仿宋_GB2312"/>
          <w:b/>
          <w:bCs/>
          <w:szCs w:val="32"/>
        </w:rPr>
        <w:t>项目</w:t>
      </w:r>
      <w:r>
        <w:rPr>
          <w:rFonts w:hint="eastAsia" w:ascii="仿宋_GB2312" w:hAnsi="仿宋_GB2312" w:eastAsia="仿宋_GB2312" w:cs="仿宋_GB2312"/>
          <w:b/>
          <w:bCs/>
          <w:szCs w:val="32"/>
          <w:lang w:val="zh-CN"/>
        </w:rPr>
        <w:t>绩效评价访谈</w:t>
      </w:r>
      <w:r>
        <w:rPr>
          <w:rFonts w:hint="eastAsia" w:ascii="仿宋_GB2312" w:hAnsi="仿宋_GB2312" w:eastAsia="仿宋_GB2312" w:cs="仿宋_GB2312"/>
          <w:b/>
          <w:bCs/>
          <w:szCs w:val="32"/>
        </w:rPr>
        <w:t>报告</w:t>
      </w:r>
    </w:p>
    <w:p>
      <w:pPr>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尊敬的领导：</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您好！我们受永济市财政局委托，针对永济沿黄旅游公路改建工程项目二三期开展绩效评价。本项目共计使用财政资金11682.056426万元，为客观测定专项资金的分配、使用情况，我们对本项目进行详细访谈。</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访谈对象：永济沿黄旅游公路改建工程项目负责人</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访谈内容：</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1.请您简要阐述一下永济沿黄旅游公路改建工程项目立项背景及目的。</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山西省提出发展黄河、长城、太行三大旅游板块，利用山西旅游资源优势，推动文化旅游融合发展，打造“夏养山西”康养产业集群，打造文化旅游村镇。黄河、长城、太行扶贫旅游公路（一号公路）是山西省省委、省政府开发三大旅游板块、打造国家全域旅游示范区的重要组成部分。</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永济市地处晋、陕、豫“黄河金三角”的核心地带，是山西的“南大门”，西临“母亲河”、南屏中条山、北望峨眉岭、腹有伍姓湖、横贯涑水河，区位优势明显，交通条件便利，被授予“中国优秀旅游城市”。</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为积极响应国家和山西号召，充分发挥山西旅游业优势，适应山西经济转型升级和国家全域旅游示范区创建需要，进一步推进永济市旅游产业发展进程，提升永济市旅游文化品位，结合沿黄旅游公路现状，制定了《永济市全域旅游总体规划及三年行动计划（2017-2021）》，开展永济沿黄旅游公路改建工程。</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2.请您简要阐述一下项目实施过程中，永济市交通运输局在本项目中承担的责任？</w:t>
      </w:r>
    </w:p>
    <w:p>
      <w:pPr>
        <w:ind w:firstLine="560"/>
        <w:jc w:val="both"/>
        <w:rPr>
          <w:rFonts w:ascii="仿宋_GB2312" w:hAnsi="仿宋_GB2312" w:eastAsia="仿宋_GB2312" w:cs="仿宋_GB2312"/>
          <w:sz w:val="28"/>
          <w:szCs w:val="28"/>
        </w:rPr>
      </w:pPr>
      <w:r>
        <w:rPr>
          <w:rFonts w:ascii="仿宋_GB2312" w:hAnsi="仿宋_GB2312" w:eastAsia="仿宋_GB2312" w:cs="仿宋_GB2312"/>
          <w:sz w:val="28"/>
          <w:szCs w:val="28"/>
        </w:rPr>
        <w:t>负责牵头抓总，统筹推动</w:t>
      </w:r>
      <w:r>
        <w:rPr>
          <w:rFonts w:hint="eastAsia" w:ascii="仿宋_GB2312" w:hAnsi="仿宋_GB2312" w:eastAsia="仿宋_GB2312" w:cs="仿宋_GB2312"/>
          <w:sz w:val="28"/>
          <w:szCs w:val="28"/>
        </w:rPr>
        <w:t>沿黄旅游公路改建项目</w:t>
      </w:r>
      <w:r>
        <w:rPr>
          <w:rFonts w:ascii="仿宋_GB2312" w:hAnsi="仿宋_GB2312" w:eastAsia="仿宋_GB2312" w:cs="仿宋_GB2312"/>
          <w:sz w:val="28"/>
          <w:szCs w:val="28"/>
        </w:rPr>
        <w:t>的实施，监督落实项目实施情况，对</w:t>
      </w:r>
      <w:r>
        <w:rPr>
          <w:rFonts w:hint="eastAsia" w:ascii="仿宋_GB2312" w:hAnsi="仿宋_GB2312" w:eastAsia="仿宋_GB2312" w:cs="仿宋_GB2312"/>
          <w:sz w:val="28"/>
          <w:szCs w:val="28"/>
        </w:rPr>
        <w:t>项目开展验收工作</w:t>
      </w:r>
      <w:r>
        <w:rPr>
          <w:rFonts w:ascii="仿宋_GB2312" w:hAnsi="仿宋_GB2312" w:eastAsia="仿宋_GB2312" w:cs="仿宋_GB2312"/>
          <w:sz w:val="28"/>
          <w:szCs w:val="28"/>
        </w:rPr>
        <w:t>等</w:t>
      </w:r>
      <w:r>
        <w:rPr>
          <w:rFonts w:hint="eastAsia" w:ascii="仿宋_GB2312" w:hAnsi="仿宋_GB2312" w:eastAsia="仿宋_GB2312" w:cs="仿宋_GB2312"/>
          <w:sz w:val="28"/>
          <w:szCs w:val="28"/>
        </w:rPr>
        <w:t>。</w:t>
      </w:r>
    </w:p>
    <w:p>
      <w:pPr>
        <w:ind w:firstLine="560"/>
        <w:jc w:val="both"/>
        <w:rPr>
          <w:rFonts w:ascii="仿宋_GB2312" w:hAnsi="仿宋_GB2312" w:eastAsia="仿宋_GB2312" w:cs="仿宋_GB2312"/>
          <w:sz w:val="28"/>
          <w:szCs w:val="28"/>
        </w:rPr>
      </w:pPr>
      <w:bookmarkStart w:id="174" w:name="_Toc17978"/>
      <w:r>
        <w:rPr>
          <w:rFonts w:hint="eastAsia" w:ascii="仿宋_GB2312" w:hAnsi="仿宋_GB2312" w:eastAsia="仿宋_GB2312" w:cs="仿宋_GB2312"/>
          <w:sz w:val="28"/>
          <w:szCs w:val="28"/>
        </w:rPr>
        <w:t>3.您认为该项目的实施预期会带来什么样的效益？</w:t>
      </w:r>
      <w:bookmarkEnd w:id="174"/>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进一步完善永济市的旅游公路，改善基础设施、生产运输条件，为沿线地区经济社会发展提供优质的交通服务，促进永济市经济和旅游业的发展，把旅游公路建设与本地旅游资源深度融合，有效串联沿线旅游景点，改善交通面貌的同时助力当地经济发展，带动富民增收，改善人民的生活环境。</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4.请您简要阐述一下该项目在实施过程中有哪些经验做法、存在的问题及需要改进的地方。</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经验与做法：</w:t>
      </w:r>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（1）规范建设，严格管理。</w:t>
      </w:r>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永济市交通运输局成立了永济沿黄旅游公路改建工程项目指挥部，明确了各人员的工作职责及分工，严格按照项目相关管理规定执行，促进项目规范建设。</w:t>
      </w:r>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（2）强化监管，确保质量。</w:t>
      </w:r>
    </w:p>
    <w:p>
      <w:pPr>
        <w:ind w:firstLine="560" w:firstLineChars="0"/>
        <w:jc w:val="both"/>
        <w:rPr>
          <w:rFonts w:ascii="仿宋_GB2312" w:hAnsi="仿宋_GB2312" w:eastAsia="仿宋_GB2312" w:cs="仿宋_GB2312"/>
          <w:color w:val="0000FF"/>
          <w:sz w:val="28"/>
          <w:szCs w:val="28"/>
        </w:rPr>
      </w:pPr>
      <w:r>
        <w:rPr>
          <w:rFonts w:hint="eastAsia" w:ascii="仿宋_GB2312" w:hAnsi="仿宋_GB2312" w:eastAsia="仿宋_GB2312" w:cs="仿宋_GB2312"/>
          <w:sz w:val="28"/>
          <w:szCs w:val="28"/>
        </w:rPr>
        <w:t>永济市交通运输局为该项目聘请了监理单位，监理单位严格按照相关政策要求，对项目质量、施工单位的安全生产情况进行全程监督把控，对发现的问题及时进行处理并记录。同时，项目指挥部中负责监督检查监理工作的人员应全面考核和评价监理工作，确保项目质量。</w:t>
      </w:r>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存在的问题：</w:t>
      </w:r>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（1）合同签订不规范。</w:t>
      </w:r>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（2）管理制度不健全。</w:t>
      </w:r>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（3）制度执行存在缺陷。</w:t>
      </w:r>
    </w:p>
    <w:p>
      <w:pPr>
        <w:spacing w:line="240" w:lineRule="auto"/>
        <w:ind w:firstLine="0" w:firstLineChars="0"/>
        <w:rPr>
          <w:rFonts w:ascii="黑体" w:hAnsi="黑体" w:eastAsia="黑体" w:cs="黑体"/>
          <w:b/>
          <w:bCs/>
          <w:kern w:val="44"/>
          <w:szCs w:val="32"/>
        </w:rPr>
      </w:pPr>
    </w:p>
    <w:p>
      <w:pPr>
        <w:ind w:firstLine="643"/>
        <w:rPr>
          <w:rFonts w:ascii="黑体" w:hAnsi="黑体" w:eastAsia="黑体" w:cs="黑体"/>
          <w:b/>
          <w:bCs/>
          <w:kern w:val="44"/>
          <w:szCs w:val="32"/>
        </w:rPr>
      </w:pPr>
      <w:r>
        <w:rPr>
          <w:rFonts w:hint="eastAsia" w:ascii="黑体" w:hAnsi="黑体" w:eastAsia="黑体" w:cs="黑体"/>
          <w:b/>
          <w:bCs/>
          <w:kern w:val="44"/>
          <w:szCs w:val="32"/>
        </w:rPr>
        <w:br w:type="page"/>
      </w:r>
    </w:p>
    <w:p>
      <w:pPr>
        <w:spacing w:line="240" w:lineRule="auto"/>
        <w:ind w:firstLine="0" w:firstLineChars="0"/>
        <w:outlineLvl w:val="0"/>
        <w:rPr>
          <w:rFonts w:ascii="黑体" w:hAnsi="黑体" w:eastAsia="黑体" w:cs="黑体"/>
          <w:b/>
          <w:bCs/>
          <w:kern w:val="44"/>
          <w:szCs w:val="32"/>
        </w:rPr>
      </w:pPr>
      <w:bookmarkStart w:id="175" w:name="_Toc6959"/>
      <w:r>
        <w:rPr>
          <w:rFonts w:hint="eastAsia" w:ascii="黑体" w:hAnsi="黑体" w:eastAsia="黑体" w:cs="黑体"/>
          <w:b/>
          <w:bCs/>
          <w:kern w:val="44"/>
          <w:szCs w:val="32"/>
        </w:rPr>
        <w:t>附件</w:t>
      </w:r>
      <w:bookmarkEnd w:id="175"/>
      <w:r>
        <w:rPr>
          <w:rFonts w:hint="eastAsia" w:ascii="黑体" w:hAnsi="黑体" w:eastAsia="黑体" w:cs="黑体"/>
          <w:b/>
          <w:bCs/>
          <w:kern w:val="44"/>
          <w:szCs w:val="32"/>
        </w:rPr>
        <w:t>4</w:t>
      </w:r>
    </w:p>
    <w:p>
      <w:pPr>
        <w:ind w:firstLine="643"/>
        <w:jc w:val="center"/>
        <w:rPr>
          <w:rFonts w:ascii="仿宋_GB2312" w:hAnsi="仿宋_GB2312" w:eastAsia="仿宋_GB2312" w:cs="仿宋_GB2312"/>
          <w:b/>
          <w:bCs/>
          <w:szCs w:val="32"/>
        </w:rPr>
      </w:pPr>
      <w:r>
        <w:rPr>
          <w:rFonts w:hint="eastAsia" w:ascii="仿宋_GB2312" w:hAnsi="仿宋_GB2312" w:eastAsia="仿宋_GB2312" w:cs="仿宋_GB2312"/>
          <w:b/>
          <w:bCs/>
          <w:szCs w:val="32"/>
        </w:rPr>
        <w:t>永济沿黄旅游公路改建工程</w:t>
      </w:r>
    </w:p>
    <w:p>
      <w:pPr>
        <w:ind w:firstLine="643"/>
        <w:jc w:val="center"/>
        <w:rPr>
          <w:rFonts w:ascii="Times New Roman" w:hAnsi="Times New Roman"/>
          <w:sz w:val="28"/>
          <w:szCs w:val="28"/>
        </w:rPr>
      </w:pPr>
      <w:r>
        <w:rPr>
          <w:rFonts w:hint="eastAsia" w:ascii="仿宋_GB2312" w:hAnsi="仿宋_GB2312" w:eastAsia="仿宋_GB2312" w:cs="仿宋_GB2312"/>
          <w:b/>
          <w:bCs/>
          <w:szCs w:val="32"/>
        </w:rPr>
        <w:t>项目</w:t>
      </w:r>
      <w:r>
        <w:rPr>
          <w:rFonts w:hint="eastAsia" w:ascii="仿宋_GB2312" w:hAnsi="仿宋_GB2312" w:eastAsia="仿宋_GB2312" w:cs="仿宋_GB2312"/>
          <w:b/>
          <w:bCs/>
          <w:szCs w:val="32"/>
          <w:lang w:val="zh-CN"/>
        </w:rPr>
        <w:t>绩效评价调查问卷</w:t>
      </w:r>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尊敬的先生/女士：</w:t>
      </w:r>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您好！受永济市财政局委托，我公司对永济沿黄旅游公路改建工程项目二三期的实施情况开展绩效评价。现需要采访您几个问题，约需5分钟，采用不记名形式，数据仅用于统计分析。感谢您的支持与配合！</w:t>
      </w:r>
    </w:p>
    <w:p>
      <w:pPr>
        <w:ind w:firstLine="560"/>
        <w:rPr>
          <w:rFonts w:ascii="仿宋_GB2312" w:hAnsi="仿宋_GB2312" w:eastAsia="仿宋_GB2312" w:cs="仿宋_GB2312"/>
          <w:kern w:val="28"/>
          <w:sz w:val="28"/>
          <w:szCs w:val="28"/>
        </w:rPr>
      </w:pPr>
    </w:p>
    <w:p>
      <w:pPr>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1、永济市沿黄旅游公路改扩建工程完成后，是否提高了区域农民收入？</w:t>
      </w:r>
    </w:p>
    <w:p>
      <w:pPr>
        <w:spacing w:line="600" w:lineRule="exact"/>
        <w:ind w:firstLine="560"/>
        <w:rPr>
          <w:rFonts w:ascii="仿宋" w:hAnsi="仿宋" w:cs="仿宋"/>
          <w:sz w:val="28"/>
          <w:szCs w:val="28"/>
        </w:rPr>
      </w:pPr>
      <w:r>
        <w:rPr>
          <w:rFonts w:hint="eastAsia" w:ascii="仿宋" w:hAnsi="仿宋" w:cs="仿宋"/>
          <w:sz w:val="28"/>
          <w:szCs w:val="28"/>
        </w:rPr>
        <w:t>A.是</w:t>
      </w:r>
      <w:r>
        <w:rPr>
          <w:rFonts w:ascii="仿宋" w:hAnsi="仿宋" w:cs="仿宋"/>
          <w:sz w:val="28"/>
          <w:szCs w:val="28"/>
        </w:rPr>
        <w:t> </w:t>
      </w:r>
      <w:r>
        <w:rPr>
          <w:rFonts w:hint="eastAsia" w:ascii="仿宋" w:hAnsi="仿宋" w:cs="仿宋"/>
          <w:sz w:val="28"/>
          <w:szCs w:val="28"/>
        </w:rPr>
        <w:t xml:space="preserve">         B.否      </w:t>
      </w:r>
    </w:p>
    <w:p>
      <w:pPr>
        <w:spacing w:line="600" w:lineRule="exact"/>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2、永济市沿黄旅游公路改扩建工程完成后，是否串联了周边景区，促进区域旅游事业的发展？</w:t>
      </w:r>
    </w:p>
    <w:p>
      <w:pPr>
        <w:spacing w:line="600" w:lineRule="exact"/>
        <w:ind w:firstLine="560"/>
        <w:rPr>
          <w:rFonts w:ascii="仿宋_GB2312" w:hAnsi="仿宋_GB2312" w:eastAsia="仿宋_GB2312" w:cs="仿宋_GB2312"/>
          <w:kern w:val="28"/>
          <w:sz w:val="28"/>
          <w:szCs w:val="28"/>
        </w:rPr>
      </w:pPr>
      <w:r>
        <w:rPr>
          <w:rFonts w:hint="eastAsia" w:ascii="仿宋" w:hAnsi="仿宋" w:cs="仿宋"/>
          <w:sz w:val="28"/>
          <w:szCs w:val="28"/>
        </w:rPr>
        <w:t xml:space="preserve">A.是          B.否      </w:t>
      </w:r>
    </w:p>
    <w:p>
      <w:pPr>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3、永济市沿黄旅游公路改扩建工程完后对出行是否有所改善？</w:t>
      </w:r>
    </w:p>
    <w:p>
      <w:pPr>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A.效果明显   B.效果一般  C.效果不明显</w:t>
      </w:r>
    </w:p>
    <w:p>
      <w:pPr>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4、您对道路质量满意吗？</w:t>
      </w:r>
    </w:p>
    <w:p>
      <w:pPr>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A.非常满意   B.比较满意  C.一般满意  D.不满意</w:t>
      </w:r>
    </w:p>
    <w:p>
      <w:pPr>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5、您对道路平整度满意吗？</w:t>
      </w:r>
    </w:p>
    <w:p>
      <w:pPr>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A.非常满意   B.比较满意  C.一般满意  D.不满意</w:t>
      </w:r>
    </w:p>
    <w:p>
      <w:pPr>
        <w:ind w:firstLine="560"/>
      </w:pPr>
      <w:r>
        <w:rPr>
          <w:rFonts w:hint="eastAsia" w:ascii="仿宋_GB2312" w:hAnsi="仿宋_GB2312" w:eastAsia="仿宋_GB2312" w:cs="仿宋_GB2312"/>
          <w:kern w:val="28"/>
          <w:sz w:val="28"/>
          <w:szCs w:val="28"/>
        </w:rPr>
        <w:t>6、您对永济沿黄旅游公路改建工程有什么</w:t>
      </w:r>
      <w:r>
        <w:rPr>
          <w:rFonts w:hint="eastAsia" w:ascii="仿宋_GB2312" w:hAnsi="仿宋_GB2312" w:eastAsia="仿宋_GB2312" w:cs="仿宋_GB2312"/>
          <w:kern w:val="28"/>
          <w:sz w:val="28"/>
          <w:szCs w:val="28"/>
          <w:lang w:val="en-US" w:eastAsia="zh-CN"/>
        </w:rPr>
        <w:t>建议</w:t>
      </w:r>
      <w:r>
        <w:rPr>
          <w:rFonts w:hint="eastAsia" w:ascii="仿宋_GB2312" w:hAnsi="仿宋_GB2312" w:eastAsia="仿宋_GB2312" w:cs="仿宋_GB2312"/>
          <w:kern w:val="28"/>
          <w:sz w:val="28"/>
          <w:szCs w:val="28"/>
        </w:rPr>
        <w:t>或意见？</w:t>
      </w:r>
    </w:p>
    <w:p>
      <w:pPr>
        <w:spacing w:line="240" w:lineRule="auto"/>
        <w:ind w:firstLine="0" w:firstLineChars="0"/>
        <w:jc w:val="both"/>
        <w:outlineLvl w:val="0"/>
        <w:rPr>
          <w:rFonts w:ascii="黑体" w:hAnsi="黑体" w:eastAsia="黑体" w:cs="黑体"/>
          <w:b/>
          <w:bCs/>
          <w:kern w:val="44"/>
          <w:szCs w:val="32"/>
        </w:rPr>
      </w:pPr>
      <w:bookmarkStart w:id="176" w:name="_Toc19540"/>
      <w:r>
        <w:rPr>
          <w:rFonts w:hint="eastAsia" w:ascii="黑体" w:hAnsi="黑体" w:eastAsia="黑体" w:cs="黑体"/>
          <w:b/>
          <w:bCs/>
          <w:kern w:val="44"/>
          <w:szCs w:val="32"/>
        </w:rPr>
        <w:t>附件</w:t>
      </w:r>
      <w:bookmarkEnd w:id="176"/>
      <w:r>
        <w:rPr>
          <w:rFonts w:hint="eastAsia" w:ascii="黑体" w:hAnsi="黑体" w:eastAsia="黑体" w:cs="黑体"/>
          <w:b/>
          <w:bCs/>
          <w:kern w:val="44"/>
          <w:szCs w:val="32"/>
        </w:rPr>
        <w:t>5</w:t>
      </w:r>
    </w:p>
    <w:p>
      <w:pPr>
        <w:ind w:firstLine="643"/>
        <w:jc w:val="center"/>
        <w:rPr>
          <w:rFonts w:ascii="仿宋_GB2312" w:hAnsi="仿宋_GB2312" w:eastAsia="仿宋_GB2312" w:cs="仿宋_GB2312"/>
          <w:b/>
          <w:bCs/>
          <w:szCs w:val="32"/>
          <w:lang w:val="zh-CN"/>
        </w:rPr>
      </w:pPr>
      <w:r>
        <w:rPr>
          <w:rFonts w:hint="eastAsia" w:ascii="仿宋_GB2312" w:hAnsi="仿宋_GB2312" w:eastAsia="仿宋_GB2312" w:cs="仿宋_GB2312"/>
          <w:b/>
          <w:bCs/>
          <w:szCs w:val="32"/>
        </w:rPr>
        <w:t>永济沿黄旅游公路改建工程项目</w:t>
      </w:r>
    </w:p>
    <w:p>
      <w:pPr>
        <w:ind w:firstLine="643"/>
        <w:jc w:val="center"/>
        <w:rPr>
          <w:rFonts w:ascii="Times New Roman" w:hAnsi="Times New Roman" w:eastAsia="仿宋_GB2312"/>
          <w:bCs/>
        </w:rPr>
      </w:pPr>
      <w:r>
        <w:rPr>
          <w:rFonts w:hint="eastAsia" w:ascii="仿宋_GB2312" w:hAnsi="仿宋_GB2312" w:eastAsia="仿宋_GB2312" w:cs="仿宋_GB2312"/>
          <w:b/>
          <w:bCs/>
          <w:szCs w:val="32"/>
          <w:lang w:val="zh-CN"/>
        </w:rPr>
        <w:t>绩效评价问卷调查</w:t>
      </w:r>
      <w:bookmarkEnd w:id="171"/>
      <w:r>
        <w:rPr>
          <w:rFonts w:hint="eastAsia" w:ascii="仿宋_GB2312" w:hAnsi="仿宋_GB2312" w:eastAsia="仿宋_GB2312" w:cs="仿宋_GB2312"/>
          <w:b/>
          <w:bCs/>
          <w:szCs w:val="32"/>
        </w:rPr>
        <w:t>分析报告</w:t>
      </w:r>
    </w:p>
    <w:p>
      <w:pPr>
        <w:ind w:firstLine="560"/>
        <w:jc w:val="both"/>
        <w:rPr>
          <w:rFonts w:ascii="仿宋_GB2312" w:hAnsi="仿宋_GB2312" w:eastAsia="仿宋_GB2312" w:cs="仿宋_GB2312"/>
          <w:sz w:val="28"/>
          <w:szCs w:val="28"/>
        </w:rPr>
      </w:pPr>
      <w:bookmarkStart w:id="177" w:name="_Toc18830"/>
      <w:r>
        <w:rPr>
          <w:rFonts w:hint="eastAsia" w:ascii="仿宋_GB2312" w:hAnsi="仿宋_GB2312" w:eastAsia="仿宋_GB2312" w:cs="仿宋_GB2312"/>
          <w:sz w:val="28"/>
          <w:szCs w:val="28"/>
        </w:rPr>
        <w:t>一、调研对象与调研内容</w:t>
      </w:r>
      <w:bookmarkEnd w:id="177"/>
    </w:p>
    <w:p>
      <w:pPr>
        <w:ind w:firstLine="560"/>
        <w:jc w:val="both"/>
        <w:rPr>
          <w:rFonts w:ascii="仿宋_GB2312" w:hAnsi="仿宋_GB2312" w:eastAsia="仿宋_GB2312" w:cs="仿宋_GB2312"/>
          <w:sz w:val="28"/>
          <w:szCs w:val="28"/>
        </w:rPr>
      </w:pPr>
      <w:bookmarkStart w:id="178" w:name="_Toc15456"/>
      <w:r>
        <w:rPr>
          <w:rFonts w:hint="eastAsia" w:ascii="仿宋_GB2312" w:hAnsi="仿宋_GB2312" w:eastAsia="仿宋_GB2312" w:cs="仿宋_GB2312"/>
          <w:sz w:val="28"/>
          <w:szCs w:val="28"/>
        </w:rPr>
        <w:t>（一）调研对象</w:t>
      </w:r>
      <w:bookmarkEnd w:id="178"/>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本次问卷调查的对象为</w:t>
      </w:r>
      <w:r>
        <w:rPr>
          <w:rFonts w:hint="eastAsia" w:ascii="仿宋_GB2312" w:hAnsi="仿宋_GB2312" w:eastAsia="仿宋_GB2312" w:cs="仿宋_GB2312"/>
          <w:kern w:val="28"/>
          <w:sz w:val="28"/>
          <w:szCs w:val="28"/>
        </w:rPr>
        <w:t>永济沿黄旅游公路改建工程</w:t>
      </w:r>
      <w:r>
        <w:rPr>
          <w:rFonts w:hint="eastAsia" w:ascii="仿宋_GB2312" w:hAnsi="仿宋_GB2312" w:eastAsia="仿宋_GB2312" w:cs="仿宋_GB2312"/>
          <w:sz w:val="28"/>
          <w:szCs w:val="28"/>
        </w:rPr>
        <w:t>项目受益对象。</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调研内容</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1.调研对象对</w:t>
      </w:r>
      <w:r>
        <w:rPr>
          <w:rFonts w:hint="eastAsia" w:ascii="仿宋_GB2312" w:hAnsi="仿宋_GB2312" w:eastAsia="仿宋_GB2312" w:cs="仿宋_GB2312"/>
          <w:kern w:val="28"/>
          <w:sz w:val="28"/>
          <w:szCs w:val="28"/>
        </w:rPr>
        <w:t>永济沿黄旅游公路改建工程</w:t>
      </w:r>
      <w:r>
        <w:rPr>
          <w:rFonts w:hint="eastAsia" w:ascii="仿宋_GB2312" w:hAnsi="仿宋_GB2312" w:eastAsia="仿宋_GB2312" w:cs="仿宋_GB2312"/>
          <w:sz w:val="28"/>
          <w:szCs w:val="28"/>
        </w:rPr>
        <w:t>项目的了解、效果评判、满意度评价；</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2.调研对象对</w:t>
      </w:r>
      <w:r>
        <w:rPr>
          <w:rFonts w:hint="eastAsia" w:ascii="仿宋_GB2312" w:hAnsi="仿宋_GB2312" w:eastAsia="仿宋_GB2312" w:cs="仿宋_GB2312"/>
          <w:kern w:val="28"/>
          <w:sz w:val="28"/>
          <w:szCs w:val="28"/>
        </w:rPr>
        <w:t>永济沿黄旅游公路改建工程</w:t>
      </w:r>
      <w:r>
        <w:rPr>
          <w:rFonts w:hint="eastAsia" w:ascii="仿宋_GB2312" w:hAnsi="仿宋_GB2312" w:eastAsia="仿宋_GB2312" w:cs="仿宋_GB2312"/>
          <w:sz w:val="28"/>
          <w:szCs w:val="28"/>
        </w:rPr>
        <w:t>项目的意见和建议。</w:t>
      </w:r>
    </w:p>
    <w:p>
      <w:pPr>
        <w:ind w:firstLine="560"/>
        <w:jc w:val="both"/>
        <w:rPr>
          <w:rFonts w:ascii="仿宋_GB2312" w:hAnsi="仿宋_GB2312" w:eastAsia="仿宋_GB2312" w:cs="仿宋_GB2312"/>
          <w:sz w:val="28"/>
          <w:szCs w:val="28"/>
        </w:rPr>
      </w:pPr>
      <w:bookmarkStart w:id="179" w:name="_Toc30743"/>
      <w:r>
        <w:rPr>
          <w:rFonts w:hint="eastAsia" w:ascii="仿宋_GB2312" w:hAnsi="仿宋_GB2312" w:eastAsia="仿宋_GB2312" w:cs="仿宋_GB2312"/>
          <w:sz w:val="28"/>
          <w:szCs w:val="28"/>
        </w:rPr>
        <w:t>二、调研方法与抽样方式</w:t>
      </w:r>
      <w:bookmarkEnd w:id="179"/>
    </w:p>
    <w:p>
      <w:pPr>
        <w:ind w:firstLine="560"/>
        <w:jc w:val="both"/>
        <w:rPr>
          <w:rFonts w:ascii="仿宋_GB2312" w:hAnsi="仿宋_GB2312" w:eastAsia="仿宋_GB2312" w:cs="仿宋_GB2312"/>
          <w:sz w:val="28"/>
          <w:szCs w:val="28"/>
        </w:rPr>
      </w:pPr>
      <w:bookmarkStart w:id="180" w:name="_Toc19804"/>
      <w:r>
        <w:rPr>
          <w:rFonts w:hint="eastAsia" w:ascii="仿宋_GB2312" w:hAnsi="仿宋_GB2312" w:eastAsia="仿宋_GB2312" w:cs="仿宋_GB2312"/>
          <w:sz w:val="28"/>
          <w:szCs w:val="28"/>
        </w:rPr>
        <w:t>（一）调研方法</w:t>
      </w:r>
      <w:bookmarkEnd w:id="180"/>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kern w:val="28"/>
          <w:sz w:val="28"/>
          <w:szCs w:val="28"/>
        </w:rPr>
        <w:t>针对调查对象开展问卷调查工作</w:t>
      </w:r>
      <w:r>
        <w:rPr>
          <w:rFonts w:hint="eastAsia" w:ascii="仿宋_GB2312" w:hAnsi="仿宋_GB2312" w:eastAsia="仿宋_GB2312" w:cs="仿宋_GB2312"/>
          <w:sz w:val="28"/>
          <w:szCs w:val="28"/>
        </w:rPr>
        <w:t>。</w:t>
      </w:r>
    </w:p>
    <w:p>
      <w:pPr>
        <w:ind w:firstLine="560"/>
        <w:jc w:val="both"/>
        <w:rPr>
          <w:rFonts w:ascii="仿宋_GB2312" w:hAnsi="仿宋_GB2312" w:eastAsia="仿宋_GB2312" w:cs="仿宋_GB2312"/>
          <w:sz w:val="28"/>
          <w:szCs w:val="28"/>
        </w:rPr>
      </w:pPr>
      <w:bookmarkStart w:id="181" w:name="_Toc9597"/>
      <w:r>
        <w:rPr>
          <w:rFonts w:hint="eastAsia" w:ascii="仿宋_GB2312" w:hAnsi="仿宋_GB2312" w:eastAsia="仿宋_GB2312" w:cs="仿宋_GB2312"/>
          <w:sz w:val="28"/>
          <w:szCs w:val="28"/>
        </w:rPr>
        <w:t>（二）抽样方式</w:t>
      </w:r>
      <w:bookmarkEnd w:id="181"/>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为保证社会调查工作的开展，项目组在项目实施所在地随机抽取50名人民群众发放调查问卷。</w:t>
      </w:r>
    </w:p>
    <w:p>
      <w:pPr>
        <w:ind w:firstLine="560"/>
        <w:jc w:val="both"/>
        <w:rPr>
          <w:rFonts w:ascii="仿宋_GB2312" w:hAnsi="仿宋_GB2312" w:eastAsia="仿宋_GB2312" w:cs="仿宋_GB2312"/>
          <w:sz w:val="28"/>
          <w:szCs w:val="28"/>
        </w:rPr>
      </w:pPr>
      <w:bookmarkStart w:id="182" w:name="_Toc441"/>
      <w:r>
        <w:rPr>
          <w:rFonts w:hint="eastAsia" w:ascii="仿宋_GB2312" w:hAnsi="仿宋_GB2312" w:eastAsia="仿宋_GB2312" w:cs="仿宋_GB2312"/>
          <w:sz w:val="28"/>
          <w:szCs w:val="28"/>
        </w:rPr>
        <w:t>三、问卷的发放和回收</w:t>
      </w:r>
      <w:bookmarkEnd w:id="182"/>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为给调研对象创造良好的作答环境、保证调研的科学性和严谨性，由我公司工作人员组织安排问卷发放。评价组共发放50份问卷，收回49份有效问卷，有效问卷回收率98%。</w:t>
      </w:r>
    </w:p>
    <w:p>
      <w:pPr>
        <w:ind w:firstLine="560"/>
        <w:jc w:val="both"/>
        <w:rPr>
          <w:rFonts w:ascii="仿宋_GB2312" w:hAnsi="仿宋_GB2312" w:eastAsia="仿宋_GB2312" w:cs="仿宋_GB2312"/>
          <w:sz w:val="28"/>
          <w:szCs w:val="28"/>
        </w:rPr>
      </w:pPr>
      <w:bookmarkStart w:id="183" w:name="_Toc14808"/>
      <w:r>
        <w:rPr>
          <w:rFonts w:hint="eastAsia" w:ascii="仿宋_GB2312" w:hAnsi="仿宋_GB2312" w:eastAsia="仿宋_GB2312" w:cs="仿宋_GB2312"/>
          <w:sz w:val="28"/>
          <w:szCs w:val="28"/>
        </w:rPr>
        <w:t>四、满意度计分标准</w:t>
      </w:r>
      <w:bookmarkEnd w:id="183"/>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评价组采用加权法计算满意度，将非常满意分值设为4分，比较满意分值设为3分，一般满意分值设为2分，不满意分值设为1分。根据选项占比加权计算满意分值，每调查项满意度分值=实际得分/满分×100%。</w:t>
      </w:r>
    </w:p>
    <w:p>
      <w:pPr>
        <w:ind w:firstLine="560"/>
        <w:jc w:val="both"/>
        <w:rPr>
          <w:rFonts w:ascii="仿宋_GB2312" w:hAnsi="仿宋_GB2312" w:eastAsia="仿宋_GB2312" w:cs="仿宋_GB2312"/>
          <w:sz w:val="28"/>
          <w:szCs w:val="28"/>
        </w:rPr>
      </w:pPr>
      <w:bookmarkStart w:id="184" w:name="_Toc31475"/>
      <w:r>
        <w:rPr>
          <w:rFonts w:hint="eastAsia" w:ascii="仿宋_GB2312" w:hAnsi="仿宋_GB2312" w:eastAsia="仿宋_GB2312" w:cs="仿宋_GB2312"/>
          <w:sz w:val="28"/>
          <w:szCs w:val="28"/>
        </w:rPr>
        <w:t>五、调查问卷分析</w:t>
      </w:r>
      <w:bookmarkEnd w:id="184"/>
    </w:p>
    <w:p>
      <w:pPr>
        <w:ind w:firstLine="560"/>
        <w:jc w:val="both"/>
        <w:rPr>
          <w:rFonts w:ascii="仿宋_GB2312" w:hAnsi="仿宋_GB2312" w:eastAsia="仿宋_GB2312" w:cs="仿宋_GB2312"/>
          <w:sz w:val="28"/>
          <w:szCs w:val="28"/>
        </w:rPr>
      </w:pPr>
      <w:bookmarkStart w:id="185" w:name="_Toc19311"/>
      <w:r>
        <w:rPr>
          <w:rFonts w:hint="eastAsia" w:ascii="仿宋_GB2312" w:hAnsi="仿宋_GB2312" w:eastAsia="仿宋_GB2312" w:cs="仿宋_GB2312"/>
          <w:sz w:val="28"/>
          <w:szCs w:val="28"/>
        </w:rPr>
        <w:t>1.</w:t>
      </w:r>
      <w:bookmarkEnd w:id="185"/>
      <w:r>
        <w:rPr>
          <w:rFonts w:hint="eastAsia" w:ascii="仿宋_GB2312" w:hAnsi="仿宋_GB2312" w:eastAsia="仿宋_GB2312" w:cs="仿宋_GB2312"/>
          <w:kern w:val="28"/>
          <w:sz w:val="28"/>
          <w:szCs w:val="28"/>
        </w:rPr>
        <w:t>永济市沿黄旅游公路改扩建工程完成后，是否提高了区域农民收入？</w:t>
      </w:r>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在49份有效问卷中，35位受访者表示是，占比71.43%；14位受访者表示否，占比28.57%。</w:t>
      </w:r>
    </w:p>
    <w:p>
      <w:pPr>
        <w:ind w:firstLine="560"/>
        <w:jc w:val="both"/>
        <w:rPr>
          <w:rFonts w:ascii="仿宋_GB2312" w:hAnsi="仿宋_GB2312" w:eastAsia="仿宋_GB2312" w:cs="仿宋_GB2312"/>
          <w:sz w:val="28"/>
          <w:szCs w:val="28"/>
        </w:rPr>
      </w:pPr>
      <w:bookmarkStart w:id="186" w:name="_Toc28163"/>
      <w:r>
        <w:rPr>
          <w:rFonts w:hint="eastAsia" w:ascii="仿宋_GB2312" w:hAnsi="仿宋_GB2312" w:eastAsia="仿宋_GB2312" w:cs="仿宋_GB2312"/>
          <w:sz w:val="28"/>
          <w:szCs w:val="28"/>
        </w:rPr>
        <w:t>2.</w:t>
      </w:r>
      <w:r>
        <w:rPr>
          <w:rFonts w:hint="eastAsia" w:ascii="仿宋_GB2312" w:hAnsi="仿宋_GB2312" w:eastAsia="仿宋_GB2312" w:cs="仿宋_GB2312"/>
          <w:kern w:val="28"/>
          <w:sz w:val="28"/>
          <w:szCs w:val="28"/>
        </w:rPr>
        <w:t>永济市沿黄旅游公路改扩建工程完成后，是否串联了周边景区，促进区域旅游事业的发展？</w:t>
      </w:r>
      <w:bookmarkEnd w:id="186"/>
    </w:p>
    <w:p>
      <w:pPr>
        <w:spacing w:line="240" w:lineRule="auto"/>
        <w:ind w:firstLine="560"/>
        <w:jc w:val="both"/>
        <w:rPr>
          <w:rFonts w:ascii="仿宋_GB2312" w:hAnsi="仿宋_GB2312" w:eastAsia="仿宋_GB2312" w:cs="仿宋_GB2312"/>
          <w:color w:val="0000FF"/>
          <w:sz w:val="28"/>
          <w:szCs w:val="28"/>
        </w:rPr>
      </w:pPr>
      <w:r>
        <w:rPr>
          <w:rFonts w:hint="eastAsia" w:ascii="仿宋_GB2312" w:hAnsi="仿宋_GB2312" w:eastAsia="仿宋_GB2312" w:cs="仿宋_GB2312"/>
          <w:sz w:val="28"/>
          <w:szCs w:val="28"/>
        </w:rPr>
        <w:t>在49份有效问卷中，40位受访者表示是，占比81.63%；9位受访者表示否，占比18.37%。</w:t>
      </w:r>
      <w:r>
        <w:rPr>
          <w:rFonts w:hint="eastAsia" w:ascii="仿宋_GB2312" w:hAnsi="仿宋_GB2312" w:eastAsia="仿宋_GB2312" w:cs="仿宋_GB2312"/>
          <w:color w:val="0000FF"/>
          <w:sz w:val="28"/>
          <w:szCs w:val="28"/>
        </w:rPr>
        <w:t xml:space="preserve">       </w:t>
      </w:r>
    </w:p>
    <w:p>
      <w:pPr>
        <w:ind w:firstLine="560"/>
        <w:jc w:val="both"/>
        <w:rPr>
          <w:rFonts w:ascii="仿宋_GB2312" w:hAnsi="仿宋_GB2312" w:eastAsia="仿宋_GB2312" w:cs="仿宋_GB2312"/>
          <w:sz w:val="28"/>
          <w:szCs w:val="28"/>
        </w:rPr>
      </w:pPr>
      <w:bookmarkStart w:id="187" w:name="_Toc7133"/>
      <w:r>
        <w:rPr>
          <w:rFonts w:hint="eastAsia" w:ascii="仿宋_GB2312" w:hAnsi="仿宋_GB2312" w:eastAsia="仿宋_GB2312" w:cs="仿宋_GB2312"/>
          <w:sz w:val="28"/>
          <w:szCs w:val="28"/>
        </w:rPr>
        <w:t>3.</w:t>
      </w:r>
      <w:r>
        <w:rPr>
          <w:rFonts w:hint="eastAsia" w:ascii="仿宋_GB2312" w:hAnsi="仿宋_GB2312" w:eastAsia="仿宋_GB2312" w:cs="仿宋_GB2312"/>
          <w:kern w:val="28"/>
          <w:sz w:val="28"/>
          <w:szCs w:val="28"/>
        </w:rPr>
        <w:t>永济市沿黄旅游公路改扩建工程完后对出行是否有所改善</w:t>
      </w:r>
      <w:r>
        <w:rPr>
          <w:rFonts w:hint="eastAsia" w:ascii="仿宋_GB2312" w:hAnsi="仿宋_GB2312" w:eastAsia="仿宋_GB2312" w:cs="仿宋_GB2312"/>
          <w:sz w:val="28"/>
          <w:szCs w:val="28"/>
        </w:rPr>
        <w:t>？</w:t>
      </w:r>
      <w:bookmarkEnd w:id="187"/>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在49份有效问卷中，20位受访者表示效果明显，占比40.82%；24位受访者表示效果一般，占比48.98%；5位受访者表示效果不明显，占比10.2%。</w:t>
      </w:r>
    </w:p>
    <w:p>
      <w:pPr>
        <w:ind w:firstLine="560"/>
        <w:jc w:val="both"/>
        <w:rPr>
          <w:rFonts w:ascii="仿宋_GB2312" w:hAnsi="仿宋_GB2312" w:eastAsia="仿宋_GB2312" w:cs="仿宋_GB2312"/>
          <w:sz w:val="28"/>
          <w:szCs w:val="28"/>
        </w:rPr>
      </w:pPr>
      <w:bookmarkStart w:id="188" w:name="_Toc7294"/>
      <w:r>
        <w:rPr>
          <w:rFonts w:hint="eastAsia" w:ascii="仿宋_GB2312" w:hAnsi="仿宋_GB2312" w:eastAsia="仿宋_GB2312" w:cs="仿宋_GB2312"/>
          <w:sz w:val="28"/>
          <w:szCs w:val="28"/>
        </w:rPr>
        <w:t>4.</w:t>
      </w:r>
      <w:r>
        <w:rPr>
          <w:rFonts w:hint="eastAsia" w:ascii="仿宋_GB2312" w:hAnsi="仿宋_GB2312" w:eastAsia="仿宋_GB2312" w:cs="仿宋_GB2312"/>
          <w:kern w:val="28"/>
          <w:sz w:val="28"/>
          <w:szCs w:val="28"/>
        </w:rPr>
        <w:t>您对道路质量满意吗</w:t>
      </w:r>
      <w:r>
        <w:rPr>
          <w:rFonts w:hint="eastAsia" w:ascii="仿宋_GB2312" w:hAnsi="仿宋_GB2312" w:eastAsia="仿宋_GB2312" w:cs="仿宋_GB2312"/>
          <w:sz w:val="28"/>
          <w:szCs w:val="28"/>
        </w:rPr>
        <w:t>？</w:t>
      </w:r>
      <w:bookmarkEnd w:id="188"/>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在49份有效问卷中，29位受访者表示非常满意，占比59.18%；20位受访者表示比较满意，占比40.82%。</w:t>
      </w:r>
    </w:p>
    <w:p>
      <w:pPr>
        <w:ind w:firstLine="560"/>
        <w:jc w:val="both"/>
        <w:rPr>
          <w:rFonts w:ascii="仿宋_GB2312" w:hAnsi="仿宋_GB2312" w:eastAsia="仿宋_GB2312" w:cs="仿宋_GB2312"/>
          <w:sz w:val="28"/>
          <w:szCs w:val="28"/>
        </w:rPr>
      </w:pPr>
      <w:bookmarkStart w:id="189" w:name="_Toc23361"/>
      <w:r>
        <w:rPr>
          <w:rFonts w:hint="eastAsia" w:ascii="仿宋_GB2312" w:hAnsi="仿宋_GB2312" w:eastAsia="仿宋_GB2312" w:cs="仿宋_GB2312"/>
          <w:sz w:val="28"/>
          <w:szCs w:val="28"/>
        </w:rPr>
        <w:t>5.</w:t>
      </w:r>
      <w:r>
        <w:rPr>
          <w:rFonts w:hint="eastAsia" w:ascii="仿宋_GB2312" w:hAnsi="仿宋_GB2312" w:eastAsia="仿宋_GB2312" w:cs="仿宋_GB2312"/>
          <w:kern w:val="28"/>
          <w:sz w:val="28"/>
          <w:szCs w:val="28"/>
        </w:rPr>
        <w:t>您对道路平整度满意吗</w:t>
      </w:r>
      <w:r>
        <w:rPr>
          <w:rFonts w:hint="eastAsia" w:ascii="仿宋_GB2312" w:hAnsi="仿宋_GB2312" w:eastAsia="仿宋_GB2312" w:cs="仿宋_GB2312"/>
          <w:sz w:val="28"/>
          <w:szCs w:val="28"/>
        </w:rPr>
        <w:t>？</w:t>
      </w:r>
      <w:bookmarkEnd w:id="189"/>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在49份有效问卷中，31位受访者表示非常满意，占比63.27%；18位受访者表示比较满意，占比36.73%。</w:t>
      </w:r>
    </w:p>
    <w:p>
      <w:pPr>
        <w:ind w:firstLine="560"/>
        <w:jc w:val="both"/>
        <w:rPr>
          <w:rFonts w:ascii="仿宋_GB2312" w:hAnsi="仿宋_GB2312" w:eastAsia="仿宋_GB2312" w:cs="仿宋_GB2312"/>
          <w:sz w:val="28"/>
          <w:szCs w:val="28"/>
        </w:rPr>
      </w:pPr>
      <w:bookmarkStart w:id="190" w:name="_Toc32629"/>
      <w:r>
        <w:rPr>
          <w:rFonts w:hint="eastAsia" w:ascii="仿宋_GB2312" w:hAnsi="仿宋_GB2312" w:eastAsia="仿宋_GB2312" w:cs="仿宋_GB2312"/>
          <w:sz w:val="28"/>
          <w:szCs w:val="28"/>
        </w:rPr>
        <w:t>6.</w:t>
      </w:r>
      <w:r>
        <w:rPr>
          <w:rFonts w:hint="eastAsia" w:ascii="仿宋_GB2312" w:hAnsi="仿宋_GB2312" w:eastAsia="仿宋_GB2312" w:cs="仿宋_GB2312"/>
          <w:kern w:val="28"/>
          <w:sz w:val="28"/>
          <w:szCs w:val="28"/>
        </w:rPr>
        <w:t>您对永济沿黄旅游公路改建工程有什么</w:t>
      </w:r>
      <w:r>
        <w:rPr>
          <w:rFonts w:hint="eastAsia" w:ascii="仿宋_GB2312" w:hAnsi="仿宋_GB2312" w:eastAsia="仿宋_GB2312" w:cs="仿宋_GB2312"/>
          <w:kern w:val="28"/>
          <w:sz w:val="28"/>
          <w:szCs w:val="28"/>
          <w:lang w:val="en-US" w:eastAsia="zh-CN"/>
        </w:rPr>
        <w:t>建议</w:t>
      </w:r>
      <w:r>
        <w:rPr>
          <w:rFonts w:hint="eastAsia" w:ascii="仿宋_GB2312" w:hAnsi="仿宋_GB2312" w:eastAsia="仿宋_GB2312" w:cs="仿宋_GB2312"/>
          <w:kern w:val="28"/>
          <w:sz w:val="28"/>
          <w:szCs w:val="28"/>
        </w:rPr>
        <w:t>或意见</w:t>
      </w:r>
      <w:r>
        <w:rPr>
          <w:rFonts w:hint="eastAsia" w:ascii="仿宋_GB2312" w:hAnsi="仿宋_GB2312" w:eastAsia="仿宋_GB2312" w:cs="仿宋_GB2312"/>
          <w:sz w:val="28"/>
          <w:szCs w:val="28"/>
        </w:rPr>
        <w:t>？</w:t>
      </w:r>
      <w:bookmarkEnd w:id="190"/>
    </w:p>
    <w:p>
      <w:pPr>
        <w:ind w:firstLine="560"/>
        <w:jc w:val="both"/>
      </w:pPr>
      <w:r>
        <w:rPr>
          <w:rFonts w:hint="eastAsia" w:ascii="仿宋_GB2312" w:hAnsi="仿宋_GB2312" w:eastAsia="仿宋_GB2312" w:cs="仿宋_GB2312"/>
          <w:sz w:val="28"/>
          <w:szCs w:val="28"/>
        </w:rPr>
        <w:t>综合以上分析，受益对象平均满意度为90.31%，满意度情况良好。</w:t>
      </w:r>
    </w:p>
    <w:p>
      <w:pPr>
        <w:spacing w:line="240" w:lineRule="auto"/>
        <w:ind w:firstLine="0" w:firstLineChars="0"/>
        <w:jc w:val="both"/>
        <w:outlineLvl w:val="0"/>
        <w:rPr>
          <w:rFonts w:ascii="黑体" w:hAnsi="黑体" w:eastAsia="黑体" w:cs="黑体"/>
          <w:b/>
          <w:bCs/>
          <w:kern w:val="44"/>
          <w:szCs w:val="32"/>
        </w:rPr>
      </w:pPr>
      <w:r>
        <w:rPr>
          <w:rFonts w:ascii="Times New Roman" w:hAnsi="Times New Roman"/>
          <w:b/>
          <w:szCs w:val="32"/>
        </w:rPr>
        <w:br w:type="page"/>
      </w:r>
      <w:bookmarkStart w:id="191" w:name="_Toc30385"/>
      <w:r>
        <w:rPr>
          <w:rFonts w:hint="eastAsia" w:ascii="黑体" w:hAnsi="黑体" w:eastAsia="黑体" w:cs="黑体"/>
          <w:b/>
          <w:bCs/>
          <w:kern w:val="44"/>
          <w:szCs w:val="32"/>
        </w:rPr>
        <w:t>附件</w:t>
      </w:r>
      <w:bookmarkEnd w:id="191"/>
      <w:r>
        <w:rPr>
          <w:rFonts w:hint="eastAsia" w:ascii="黑体" w:hAnsi="黑体" w:eastAsia="黑体" w:cs="黑体"/>
          <w:b/>
          <w:bCs/>
          <w:kern w:val="44"/>
          <w:szCs w:val="32"/>
        </w:rPr>
        <w:t>6</w:t>
      </w:r>
    </w:p>
    <w:p>
      <w:pPr>
        <w:ind w:firstLine="643"/>
        <w:jc w:val="center"/>
        <w:rPr>
          <w:rFonts w:ascii="仿宋_GB2312" w:hAnsi="仿宋_GB2312" w:eastAsia="仿宋_GB2312" w:cs="仿宋_GB2312"/>
          <w:b/>
          <w:bCs/>
          <w:szCs w:val="32"/>
          <w:lang w:val="zh-CN"/>
        </w:rPr>
      </w:pPr>
      <w:r>
        <w:rPr>
          <w:rFonts w:hint="eastAsia" w:ascii="仿宋_GB2312" w:hAnsi="仿宋_GB2312" w:eastAsia="仿宋_GB2312" w:cs="仿宋_GB2312"/>
          <w:b/>
          <w:bCs/>
          <w:szCs w:val="32"/>
        </w:rPr>
        <w:t>永济沿黄旅游公路改建工程</w:t>
      </w:r>
      <w:r>
        <w:rPr>
          <w:rFonts w:hint="eastAsia" w:ascii="仿宋_GB2312" w:hAnsi="仿宋_GB2312" w:eastAsia="仿宋_GB2312" w:cs="仿宋_GB2312"/>
          <w:b/>
          <w:bCs/>
          <w:szCs w:val="32"/>
          <w:lang w:val="zh-CN"/>
        </w:rPr>
        <w:t>项目</w:t>
      </w:r>
    </w:p>
    <w:p>
      <w:pPr>
        <w:ind w:firstLine="643"/>
        <w:jc w:val="center"/>
        <w:rPr>
          <w:rFonts w:ascii="仿宋_GB2312" w:hAnsi="仿宋_GB2312" w:eastAsia="仿宋_GB2312" w:cs="仿宋_GB2312"/>
          <w:b/>
          <w:bCs/>
          <w:szCs w:val="32"/>
          <w:lang w:val="zh-CN"/>
        </w:rPr>
      </w:pPr>
      <w:r>
        <w:rPr>
          <w:rFonts w:hint="eastAsia" w:ascii="仿宋_GB2312" w:hAnsi="仿宋_GB2312" w:eastAsia="仿宋_GB2312" w:cs="仿宋_GB2312"/>
          <w:b/>
          <w:bCs/>
          <w:szCs w:val="32"/>
          <w:lang w:val="zh-CN"/>
        </w:rPr>
        <w:t>资金合规性检查报告</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本次合规性检查包括财政资金拨付及使用、财务管理、业务管理等内容，目的在于深入了解</w:t>
      </w:r>
      <w:r>
        <w:rPr>
          <w:rFonts w:hint="eastAsia" w:ascii="仿宋_GB2312" w:hAnsi="仿宋_GB2312" w:eastAsia="仿宋_GB2312" w:cs="仿宋_GB2312"/>
          <w:kern w:val="28"/>
          <w:sz w:val="28"/>
          <w:szCs w:val="28"/>
        </w:rPr>
        <w:t>永济沿黄旅游公路改建工程</w:t>
      </w:r>
      <w:r>
        <w:rPr>
          <w:rFonts w:hint="eastAsia" w:ascii="仿宋_GB2312" w:hAnsi="仿宋_GB2312" w:eastAsia="仿宋_GB2312" w:cs="仿宋_GB2312"/>
          <w:sz w:val="28"/>
          <w:szCs w:val="28"/>
        </w:rPr>
        <w:t>项目二三期的实施单位对</w:t>
      </w:r>
      <w:r>
        <w:rPr>
          <w:rFonts w:hint="eastAsia" w:ascii="仿宋_GB2312" w:hAnsi="仿宋_GB2312" w:eastAsia="仿宋_GB2312" w:cs="仿宋_GB2312"/>
          <w:sz w:val="28"/>
          <w:szCs w:val="28"/>
          <w:lang w:val="zh-TW"/>
        </w:rPr>
        <w:t>资金管理、使用和监管等方面的开展情况。</w:t>
      </w:r>
    </w:p>
    <w:p>
      <w:pPr>
        <w:spacing w:line="240" w:lineRule="auto"/>
        <w:ind w:firstLine="560"/>
        <w:rPr>
          <w:rFonts w:ascii="仿宋_GB2312" w:hAnsi="仿宋_GB2312" w:eastAsia="仿宋_GB2312" w:cs="仿宋_GB2312"/>
          <w:sz w:val="28"/>
          <w:szCs w:val="28"/>
        </w:rPr>
      </w:pPr>
      <w:bookmarkStart w:id="192" w:name="_Toc9144"/>
      <w:r>
        <w:rPr>
          <w:rFonts w:hint="eastAsia" w:ascii="仿宋_GB2312" w:hAnsi="仿宋_GB2312" w:eastAsia="仿宋_GB2312" w:cs="仿宋_GB2312"/>
          <w:sz w:val="28"/>
          <w:szCs w:val="28"/>
        </w:rPr>
        <w:t>一、</w:t>
      </w:r>
      <w:r>
        <w:rPr>
          <w:rFonts w:hint="eastAsia" w:ascii="仿宋_GB2312" w:hAnsi="仿宋_GB2312" w:eastAsia="仿宋_GB2312" w:cs="仿宋_GB2312"/>
          <w:kern w:val="28"/>
          <w:sz w:val="28"/>
          <w:szCs w:val="28"/>
        </w:rPr>
        <w:t>永济沿黄旅游公路改建工程</w:t>
      </w:r>
      <w:r>
        <w:rPr>
          <w:rFonts w:hint="eastAsia" w:ascii="仿宋_GB2312" w:hAnsi="仿宋_GB2312" w:eastAsia="仿宋_GB2312" w:cs="仿宋_GB2312"/>
          <w:sz w:val="28"/>
          <w:szCs w:val="28"/>
        </w:rPr>
        <w:t>项目资金预算情况</w:t>
      </w:r>
      <w:bookmarkEnd w:id="192"/>
    </w:p>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（一）永济沿黄旅游公路改建工程总体预算情况</w:t>
      </w:r>
    </w:p>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根据2018年11月21日永济市交通运输局《关于呈报永济沿黄旅游公路改建工程可行性研究报告的报告》，项目总投资为32211.0623万元。资金来源：除上级补助资金外，剩余部分由市财政按地方政府债券方式筹措解决。</w:t>
      </w:r>
    </w:p>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根据2018年12月14日永济市发展和改革局《关于永济沿黄旅游公路改建工程可行性研究报告的批复》，项目估算总投资为32211.0623万元，其中：勘察、设计676.9616万元；建筑、安装工程27078.4599万元；监理676.9615万元。资金来源：除上级补助资金外，剩余部分由市财政按地方政府债券方式筹措解决。</w:t>
      </w:r>
    </w:p>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根据2019年5月21日永济市发展和改革局《关于永济沿黄旅游公路改建工程初步设计报告的批复》，该项目初步设计概算总投资30675.8776万元。资金来源：除上级补助资金外，剩余部分由市财政按地方政府债券方式筹措解决。</w:t>
      </w:r>
    </w:p>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（二）本次评价对象永济沿黄旅游公路改建工程二三期预算情况</w:t>
      </w:r>
    </w:p>
    <w:p>
      <w:pPr>
        <w:spacing w:line="240" w:lineRule="auto"/>
        <w:ind w:firstLine="560"/>
        <w:rPr>
          <w:rFonts w:ascii="黑体" w:hAnsi="黑体" w:eastAsia="仿宋_GB2312" w:cs="黑体"/>
          <w:sz w:val="28"/>
          <w:szCs w:val="28"/>
        </w:rPr>
      </w:pPr>
      <w:r>
        <w:rPr>
          <w:rFonts w:hint="eastAsia" w:ascii="仿宋_GB2312" w:hAnsi="仿宋_GB2312" w:eastAsia="仿宋_GB2312" w:cs="仿宋_GB2312"/>
          <w:sz w:val="28"/>
          <w:szCs w:val="28"/>
        </w:rPr>
        <w:t>根据2019年9月20日永济市财政投资评审中心（永财预评报〔2019〕第87号）、2020年5月22日永济市财政投资评审中心（永财预评报〔2020〕第39号）、2020年8月21日永济市财政投资评审中心（永财预评报〔2020〕第109、110、111号），该工程包括杨马-万固寺西段和张营-文学段、西敬庄-张营段、雪花山-万固寺东段道路建设费、安全设施费用以及沿黄二期工程安全技术评估报告费用，项目审定金额10504.43万元，其中工程费用10078万元，前期费用413.75万元，安全技术评估报告费12.68万元。具体情况如下：</w:t>
      </w:r>
    </w:p>
    <w:p>
      <w:pPr>
        <w:pStyle w:val="2"/>
        <w:ind w:left="0" w:leftChars="0" w:firstLine="0" w:firstLineChars="0"/>
        <w:jc w:val="center"/>
        <w:rPr>
          <w:rFonts w:ascii="黑体" w:hAnsi="黑体" w:eastAsia="黑体" w:cs="黑体"/>
          <w:sz w:val="28"/>
          <w:szCs w:val="28"/>
        </w:rPr>
      </w:pPr>
      <w:bookmarkStart w:id="193" w:name="_Toc24815"/>
      <w:r>
        <w:rPr>
          <w:rFonts w:hint="eastAsia" w:ascii="黑体" w:hAnsi="黑体" w:eastAsia="黑体" w:cs="黑体"/>
          <w:sz w:val="28"/>
          <w:szCs w:val="28"/>
        </w:rPr>
        <w:t>项目财政评审情况</w:t>
      </w:r>
    </w:p>
    <w:p>
      <w:pPr>
        <w:ind w:firstLine="480"/>
        <w:jc w:val="right"/>
        <w:rPr>
          <w:rFonts w:ascii="黑体" w:hAnsi="黑体" w:eastAsia="黑体" w:cs="黑体"/>
          <w:sz w:val="24"/>
        </w:rPr>
      </w:pPr>
      <w:r>
        <w:rPr>
          <w:rFonts w:hint="eastAsia" w:ascii="黑体" w:hAnsi="黑体" w:eastAsia="黑体" w:cs="黑体"/>
          <w:sz w:val="24"/>
        </w:rPr>
        <w:t>金额：万元</w:t>
      </w:r>
    </w:p>
    <w:tbl>
      <w:tblPr>
        <w:tblStyle w:val="15"/>
        <w:tblW w:w="55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113"/>
        <w:gridCol w:w="946"/>
        <w:gridCol w:w="921"/>
        <w:gridCol w:w="936"/>
        <w:gridCol w:w="1144"/>
        <w:gridCol w:w="883"/>
        <w:gridCol w:w="920"/>
        <w:gridCol w:w="900"/>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7" w:type="pct"/>
            <w:vMerge w:val="restar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项目标段</w:t>
            </w:r>
          </w:p>
        </w:tc>
        <w:tc>
          <w:tcPr>
            <w:tcW w:w="545" w:type="pct"/>
            <w:vMerge w:val="restart"/>
            <w:shd w:val="clear" w:color="auto" w:fill="BEBEBE"/>
            <w:noWrap/>
            <w:vAlign w:val="center"/>
          </w:tcPr>
          <w:p>
            <w:pPr>
              <w:widowControl/>
              <w:ind w:firstLine="0" w:firstLineChars="0"/>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工程</w:t>
            </w:r>
          </w:p>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费用</w:t>
            </w:r>
          </w:p>
        </w:tc>
        <w:tc>
          <w:tcPr>
            <w:tcW w:w="2818" w:type="pct"/>
            <w:gridSpan w:val="6"/>
            <w:shd w:val="clear" w:color="auto" w:fill="BEBEBE"/>
            <w:noWrap/>
            <w:vAlign w:val="center"/>
          </w:tcPr>
          <w:p>
            <w:pPr>
              <w:widowControl/>
              <w:ind w:firstLine="0" w:firstLineChars="0"/>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前期费用</w:t>
            </w:r>
          </w:p>
        </w:tc>
        <w:tc>
          <w:tcPr>
            <w:tcW w:w="441" w:type="pct"/>
            <w:vMerge w:val="restar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安全技术评估报告费</w:t>
            </w:r>
          </w:p>
        </w:tc>
        <w:tc>
          <w:tcPr>
            <w:tcW w:w="547" w:type="pct"/>
            <w:vMerge w:val="restar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7" w:type="pct"/>
            <w:vMerge w:val="continue"/>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p>
        </w:tc>
        <w:tc>
          <w:tcPr>
            <w:tcW w:w="545" w:type="pct"/>
            <w:vMerge w:val="continue"/>
            <w:shd w:val="clear" w:color="auto" w:fill="BEBEBE"/>
            <w:noWrap/>
            <w:vAlign w:val="center"/>
          </w:tcPr>
          <w:p>
            <w:pPr>
              <w:widowControl/>
              <w:ind w:firstLine="0" w:firstLineChars="0"/>
              <w:jc w:val="center"/>
              <w:textAlignment w:val="center"/>
              <w:rPr>
                <w:rFonts w:ascii="宋体" w:hAnsi="宋体" w:eastAsia="宋体" w:cs="宋体"/>
                <w:b/>
                <w:bCs/>
                <w:color w:val="000000"/>
                <w:sz w:val="22"/>
                <w:szCs w:val="22"/>
              </w:rPr>
            </w:pPr>
          </w:p>
        </w:tc>
        <w:tc>
          <w:tcPr>
            <w:tcW w:w="463" w:type="pct"/>
            <w:shd w:val="clear" w:color="auto" w:fill="BEBEBE"/>
            <w:noWrap/>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管理费</w:t>
            </w:r>
          </w:p>
        </w:tc>
        <w:tc>
          <w:tcPr>
            <w:tcW w:w="451" w:type="pct"/>
            <w:shd w:val="clear" w:color="auto" w:fill="BEBEBE"/>
            <w:noWrap/>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造价费</w:t>
            </w:r>
          </w:p>
        </w:tc>
        <w:tc>
          <w:tcPr>
            <w:tcW w:w="459" w:type="pct"/>
            <w:shd w:val="clear" w:color="auto" w:fill="BEBEBE"/>
            <w:noWrap/>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监理费</w:t>
            </w:r>
          </w:p>
        </w:tc>
        <w:tc>
          <w:tcPr>
            <w:tcW w:w="561" w:type="pct"/>
            <w:shd w:val="clear" w:color="auto" w:fill="BEBEBE"/>
            <w:noWrap/>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竣工验收检测费</w:t>
            </w:r>
          </w:p>
        </w:tc>
        <w:tc>
          <w:tcPr>
            <w:tcW w:w="433" w:type="pct"/>
            <w:shd w:val="clear" w:color="auto" w:fill="BEBEBE"/>
            <w:noWrap/>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图纸设计费</w:t>
            </w:r>
          </w:p>
        </w:tc>
        <w:tc>
          <w:tcPr>
            <w:tcW w:w="449" w:type="pct"/>
            <w:shd w:val="clear" w:color="auto" w:fill="BEBEBE"/>
            <w:noWrap/>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测量放线费</w:t>
            </w:r>
          </w:p>
        </w:tc>
        <w:tc>
          <w:tcPr>
            <w:tcW w:w="441" w:type="pct"/>
            <w:vMerge w:val="continue"/>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p>
        </w:tc>
        <w:tc>
          <w:tcPr>
            <w:tcW w:w="547" w:type="pct"/>
            <w:vMerge w:val="continue"/>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7" w:type="pct"/>
            <w:noWrap/>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张营-文学、杨马-万固寺西段</w:t>
            </w:r>
          </w:p>
        </w:tc>
        <w:tc>
          <w:tcPr>
            <w:tcW w:w="545" w:type="pct"/>
            <w:noWrap/>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5374.46</w:t>
            </w:r>
          </w:p>
        </w:tc>
        <w:tc>
          <w:tcPr>
            <w:tcW w:w="463" w:type="pct"/>
            <w:noWrap/>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40.00</w:t>
            </w:r>
          </w:p>
        </w:tc>
        <w:tc>
          <w:tcPr>
            <w:tcW w:w="451" w:type="pct"/>
            <w:noWrap/>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11.13</w:t>
            </w:r>
          </w:p>
        </w:tc>
        <w:tc>
          <w:tcPr>
            <w:tcW w:w="459" w:type="pct"/>
            <w:noWrap/>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65.43</w:t>
            </w:r>
          </w:p>
        </w:tc>
        <w:tc>
          <w:tcPr>
            <w:tcW w:w="561" w:type="pct"/>
            <w:noWrap/>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10.22</w:t>
            </w:r>
          </w:p>
        </w:tc>
        <w:tc>
          <w:tcPr>
            <w:tcW w:w="433" w:type="pct"/>
            <w:noWrap/>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86.82</w:t>
            </w:r>
          </w:p>
        </w:tc>
        <w:tc>
          <w:tcPr>
            <w:tcW w:w="449" w:type="pct"/>
            <w:noWrap/>
            <w:vAlign w:val="center"/>
          </w:tcPr>
          <w:p>
            <w:pPr>
              <w:ind w:firstLine="440"/>
              <w:jc w:val="right"/>
              <w:rPr>
                <w:rFonts w:ascii="宋体" w:hAnsi="宋体" w:eastAsia="宋体" w:cs="宋体"/>
                <w:color w:val="000000"/>
                <w:sz w:val="22"/>
                <w:szCs w:val="22"/>
              </w:rPr>
            </w:pPr>
          </w:p>
        </w:tc>
        <w:tc>
          <w:tcPr>
            <w:tcW w:w="441"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color w:val="000000"/>
                <w:kern w:val="0"/>
                <w:sz w:val="22"/>
                <w:szCs w:val="22"/>
                <w:lang w:bidi="ar"/>
              </w:rPr>
              <w:t>12.68</w:t>
            </w:r>
          </w:p>
        </w:tc>
        <w:tc>
          <w:tcPr>
            <w:tcW w:w="547" w:type="pct"/>
            <w:noWrap/>
            <w:vAlign w:val="center"/>
          </w:tcPr>
          <w:p>
            <w:pPr>
              <w:widowControl/>
              <w:ind w:firstLine="0" w:firstLineChars="0"/>
              <w:jc w:val="righ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5600.74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7" w:type="pct"/>
            <w:noWrap/>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西敬庄-张营</w:t>
            </w:r>
          </w:p>
        </w:tc>
        <w:tc>
          <w:tcPr>
            <w:tcW w:w="545"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2165.53</w:t>
            </w:r>
          </w:p>
        </w:tc>
        <w:tc>
          <w:tcPr>
            <w:tcW w:w="463"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5.00</w:t>
            </w:r>
          </w:p>
        </w:tc>
        <w:tc>
          <w:tcPr>
            <w:tcW w:w="451"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7.18</w:t>
            </w:r>
          </w:p>
        </w:tc>
        <w:tc>
          <w:tcPr>
            <w:tcW w:w="459"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29.62</w:t>
            </w:r>
          </w:p>
        </w:tc>
        <w:tc>
          <w:tcPr>
            <w:tcW w:w="561"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3.50</w:t>
            </w:r>
          </w:p>
        </w:tc>
        <w:tc>
          <w:tcPr>
            <w:tcW w:w="433"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42.36</w:t>
            </w:r>
          </w:p>
        </w:tc>
        <w:tc>
          <w:tcPr>
            <w:tcW w:w="449"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1.50</w:t>
            </w:r>
          </w:p>
        </w:tc>
        <w:tc>
          <w:tcPr>
            <w:tcW w:w="441"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p>
        </w:tc>
        <w:tc>
          <w:tcPr>
            <w:tcW w:w="547"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2254.69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7" w:type="pct"/>
            <w:noWrap/>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雪花山-万固寺东段</w:t>
            </w:r>
          </w:p>
        </w:tc>
        <w:tc>
          <w:tcPr>
            <w:tcW w:w="545"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2077.13</w:t>
            </w:r>
          </w:p>
        </w:tc>
        <w:tc>
          <w:tcPr>
            <w:tcW w:w="463"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5.00</w:t>
            </w:r>
          </w:p>
        </w:tc>
        <w:tc>
          <w:tcPr>
            <w:tcW w:w="451"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6.96</w:t>
            </w:r>
          </w:p>
        </w:tc>
        <w:tc>
          <w:tcPr>
            <w:tcW w:w="459"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28.54</w:t>
            </w:r>
          </w:p>
        </w:tc>
        <w:tc>
          <w:tcPr>
            <w:tcW w:w="561"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3.95</w:t>
            </w:r>
          </w:p>
        </w:tc>
        <w:tc>
          <w:tcPr>
            <w:tcW w:w="433"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40.78</w:t>
            </w:r>
          </w:p>
        </w:tc>
        <w:tc>
          <w:tcPr>
            <w:tcW w:w="449"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2.00</w:t>
            </w:r>
          </w:p>
        </w:tc>
        <w:tc>
          <w:tcPr>
            <w:tcW w:w="441"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p>
        </w:tc>
        <w:tc>
          <w:tcPr>
            <w:tcW w:w="547"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2164.36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7" w:type="pct"/>
            <w:noWrap/>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安保</w:t>
            </w:r>
          </w:p>
        </w:tc>
        <w:tc>
          <w:tcPr>
            <w:tcW w:w="545"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460.88</w:t>
            </w:r>
          </w:p>
        </w:tc>
        <w:tc>
          <w:tcPr>
            <w:tcW w:w="463"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2.00</w:t>
            </w:r>
          </w:p>
        </w:tc>
        <w:tc>
          <w:tcPr>
            <w:tcW w:w="451"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1.77</w:t>
            </w:r>
          </w:p>
        </w:tc>
        <w:tc>
          <w:tcPr>
            <w:tcW w:w="459"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8.42</w:t>
            </w:r>
          </w:p>
        </w:tc>
        <w:tc>
          <w:tcPr>
            <w:tcW w:w="561"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0.88</w:t>
            </w:r>
          </w:p>
        </w:tc>
        <w:tc>
          <w:tcPr>
            <w:tcW w:w="433"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10.69</w:t>
            </w:r>
          </w:p>
        </w:tc>
        <w:tc>
          <w:tcPr>
            <w:tcW w:w="449" w:type="pct"/>
            <w:noWrap/>
            <w:vAlign w:val="center"/>
          </w:tcPr>
          <w:p>
            <w:pPr>
              <w:widowControl/>
              <w:ind w:firstLine="0" w:firstLineChars="0"/>
              <w:jc w:val="right"/>
              <w:textAlignment w:val="center"/>
              <w:rPr>
                <w:rFonts w:ascii="宋体" w:hAnsi="宋体" w:eastAsia="宋体" w:cs="宋体"/>
                <w:color w:val="000000"/>
                <w:kern w:val="0"/>
                <w:sz w:val="22"/>
                <w:szCs w:val="22"/>
                <w:lang w:bidi="ar"/>
              </w:rPr>
            </w:pPr>
          </w:p>
        </w:tc>
        <w:tc>
          <w:tcPr>
            <w:tcW w:w="441"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p>
        </w:tc>
        <w:tc>
          <w:tcPr>
            <w:tcW w:w="547"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484.64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7" w:type="pct"/>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c>
          <w:tcPr>
            <w:tcW w:w="545"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10078.00</w:t>
            </w:r>
          </w:p>
        </w:tc>
        <w:tc>
          <w:tcPr>
            <w:tcW w:w="463"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52.00</w:t>
            </w:r>
          </w:p>
        </w:tc>
        <w:tc>
          <w:tcPr>
            <w:tcW w:w="451"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27.04</w:t>
            </w:r>
          </w:p>
        </w:tc>
        <w:tc>
          <w:tcPr>
            <w:tcW w:w="459"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132.01</w:t>
            </w:r>
          </w:p>
        </w:tc>
        <w:tc>
          <w:tcPr>
            <w:tcW w:w="561"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18.55</w:t>
            </w:r>
          </w:p>
        </w:tc>
        <w:tc>
          <w:tcPr>
            <w:tcW w:w="433"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180.65</w:t>
            </w:r>
          </w:p>
        </w:tc>
        <w:tc>
          <w:tcPr>
            <w:tcW w:w="449"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3.50</w:t>
            </w:r>
          </w:p>
        </w:tc>
        <w:tc>
          <w:tcPr>
            <w:tcW w:w="441"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12.68</w:t>
            </w:r>
          </w:p>
        </w:tc>
        <w:tc>
          <w:tcPr>
            <w:tcW w:w="547" w:type="pct"/>
            <w:noWrap/>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10504.43</w:t>
            </w:r>
          </w:p>
        </w:tc>
      </w:tr>
    </w:tbl>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kern w:val="28"/>
          <w:sz w:val="28"/>
          <w:szCs w:val="28"/>
        </w:rPr>
        <w:t>永济沿黄旅游公路改建工程项目</w:t>
      </w:r>
      <w:r>
        <w:rPr>
          <w:rFonts w:hint="eastAsia" w:ascii="仿宋_GB2312" w:hAnsi="仿宋_GB2312" w:eastAsia="仿宋_GB2312" w:cs="仿宋_GB2312"/>
          <w:sz w:val="28"/>
          <w:szCs w:val="28"/>
        </w:rPr>
        <w:t>资金到位及支出情况</w:t>
      </w:r>
      <w:bookmarkEnd w:id="193"/>
    </w:p>
    <w:p>
      <w:pPr>
        <w:spacing w:line="240" w:lineRule="auto"/>
        <w:ind w:firstLine="560"/>
        <w:rPr>
          <w:rFonts w:ascii="仿宋_GB2312" w:hAnsi="仿宋_GB2312" w:eastAsia="仿宋_GB2312" w:cs="仿宋_GB2312"/>
          <w:sz w:val="28"/>
          <w:szCs w:val="28"/>
        </w:rPr>
      </w:pPr>
      <w:bookmarkStart w:id="194" w:name="_Toc29910"/>
      <w:r>
        <w:rPr>
          <w:rFonts w:hint="eastAsia" w:ascii="仿宋_GB2312" w:hAnsi="仿宋_GB2312" w:eastAsia="仿宋_GB2312" w:cs="仿宋_GB2312"/>
          <w:sz w:val="28"/>
          <w:szCs w:val="28"/>
        </w:rPr>
        <w:t>1.资金到位情况</w:t>
      </w:r>
      <w:bookmarkEnd w:id="194"/>
    </w:p>
    <w:p>
      <w:pPr>
        <w:spacing w:line="240" w:lineRule="auto"/>
        <w:ind w:firstLine="560"/>
        <w:rPr>
          <w:rFonts w:ascii="黑体" w:hAnsi="黑体" w:eastAsia="黑体" w:cs="黑体"/>
          <w:sz w:val="28"/>
          <w:szCs w:val="28"/>
        </w:rPr>
      </w:pPr>
      <w:r>
        <w:rPr>
          <w:rFonts w:hint="eastAsia" w:ascii="仿宋_GB2312" w:hAnsi="仿宋_GB2312" w:eastAsia="仿宋_GB2312" w:cs="仿宋_GB2312"/>
          <w:sz w:val="28"/>
          <w:szCs w:val="28"/>
        </w:rPr>
        <w:t>根据永济市财政局永财建〔2019〕19号、永财预非税指〔2020〕016号等文件，截至2022年8月31日，永济沿黄旅游公路改建工程项目总体累计到位财政资金13005.074819万元，其中：省级资金5705万元，市级资金7300.074819万元。具体情况如下表所示：</w:t>
      </w:r>
    </w:p>
    <w:p>
      <w:pPr>
        <w:spacing w:line="360" w:lineRule="exact"/>
        <w:ind w:firstLine="0" w:firstLineChars="0"/>
        <w:jc w:val="center"/>
        <w:rPr>
          <w:rFonts w:ascii="仿宋" w:hAnsi="仿宋" w:eastAsia="黑体" w:cs="仿宋"/>
          <w:sz w:val="28"/>
          <w:szCs w:val="28"/>
        </w:rPr>
      </w:pPr>
      <w:bookmarkStart w:id="195" w:name="_Toc19753"/>
      <w:r>
        <w:rPr>
          <w:rFonts w:hint="eastAsia" w:ascii="黑体" w:hAnsi="黑体" w:eastAsia="黑体" w:cs="黑体"/>
          <w:sz w:val="24"/>
        </w:rPr>
        <w:t>资金到位情况</w:t>
      </w:r>
    </w:p>
    <w:p>
      <w:pPr>
        <w:spacing w:line="360" w:lineRule="exact"/>
        <w:ind w:firstLine="0" w:firstLineChars="0"/>
        <w:jc w:val="right"/>
        <w:rPr>
          <w:rFonts w:ascii="黑体" w:hAnsi="黑体" w:eastAsia="黑体" w:cs="黑体"/>
          <w:sz w:val="28"/>
          <w:szCs w:val="28"/>
        </w:rPr>
      </w:pPr>
      <w:r>
        <w:rPr>
          <w:rFonts w:hint="eastAsia" w:ascii="黑体" w:hAnsi="黑体" w:eastAsia="黑体" w:cs="黑体"/>
          <w:sz w:val="24"/>
        </w:rPr>
        <w:t xml:space="preserve"> 金额单位：万元</w:t>
      </w:r>
    </w:p>
    <w:tbl>
      <w:tblPr>
        <w:tblStyle w:val="16"/>
        <w:tblW w:w="8930"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275"/>
        <w:gridCol w:w="1170"/>
        <w:gridCol w:w="139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blHeader/>
        </w:trPr>
        <w:tc>
          <w:tcPr>
            <w:tcW w:w="1575" w:type="dxa"/>
            <w:shd w:val="clear" w:color="auto" w:fill="D7D7D7" w:themeFill="background1" w:themeFillShade="D8"/>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时间</w:t>
            </w:r>
          </w:p>
        </w:tc>
        <w:tc>
          <w:tcPr>
            <w:tcW w:w="327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文号</w:t>
            </w:r>
          </w:p>
        </w:tc>
        <w:tc>
          <w:tcPr>
            <w:tcW w:w="1170"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省级资金</w:t>
            </w:r>
          </w:p>
        </w:tc>
        <w:tc>
          <w:tcPr>
            <w:tcW w:w="139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市级资金</w:t>
            </w:r>
          </w:p>
        </w:tc>
        <w:tc>
          <w:tcPr>
            <w:tcW w:w="151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201</w:t>
            </w:r>
            <w:r>
              <w:rPr>
                <w:rFonts w:hint="eastAsia" w:ascii="宋体" w:hAnsi="宋体" w:eastAsia="宋体" w:cs="宋体"/>
                <w:sz w:val="21"/>
                <w:szCs w:val="21"/>
              </w:rPr>
              <w:t>9.</w:t>
            </w:r>
            <w:r>
              <w:rPr>
                <w:rFonts w:ascii="宋体" w:hAnsi="宋体" w:eastAsia="宋体" w:cs="宋体"/>
                <w:sz w:val="21"/>
                <w:szCs w:val="21"/>
              </w:rPr>
              <w:t>5</w:t>
            </w:r>
            <w:r>
              <w:rPr>
                <w:rFonts w:hint="eastAsia" w:ascii="宋体" w:hAnsi="宋体" w:eastAsia="宋体" w:cs="宋体"/>
                <w:sz w:val="21"/>
                <w:szCs w:val="21"/>
              </w:rPr>
              <w:t>.</w:t>
            </w:r>
            <w:r>
              <w:rPr>
                <w:rFonts w:ascii="宋体" w:hAnsi="宋体" w:eastAsia="宋体" w:cs="宋体"/>
                <w:sz w:val="21"/>
                <w:szCs w:val="21"/>
              </w:rPr>
              <w:t>6</w:t>
            </w:r>
          </w:p>
        </w:tc>
        <w:tc>
          <w:tcPr>
            <w:tcW w:w="327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永财建〔2019〕19号</w:t>
            </w:r>
          </w:p>
        </w:tc>
        <w:tc>
          <w:tcPr>
            <w:tcW w:w="1170"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1670.00</w:t>
            </w:r>
          </w:p>
        </w:tc>
        <w:tc>
          <w:tcPr>
            <w:tcW w:w="1395" w:type="dxa"/>
            <w:vAlign w:val="center"/>
          </w:tcPr>
          <w:p>
            <w:pPr>
              <w:spacing w:line="240" w:lineRule="auto"/>
              <w:ind w:firstLine="0" w:firstLineChars="0"/>
              <w:jc w:val="right"/>
              <w:rPr>
                <w:rFonts w:ascii="宋体" w:hAnsi="宋体" w:eastAsia="宋体" w:cs="宋体"/>
                <w:sz w:val="21"/>
                <w:szCs w:val="21"/>
              </w:rPr>
            </w:pP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1670.00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1</w:t>
            </w:r>
            <w:r>
              <w:rPr>
                <w:rFonts w:hint="eastAsia" w:ascii="宋体" w:hAnsi="宋体" w:eastAsia="宋体" w:cs="宋体"/>
                <w:sz w:val="21"/>
                <w:szCs w:val="21"/>
              </w:rPr>
              <w:t>.</w:t>
            </w:r>
            <w:r>
              <w:rPr>
                <w:rFonts w:ascii="宋体" w:hAnsi="宋体" w:eastAsia="宋体" w:cs="宋体"/>
                <w:sz w:val="21"/>
                <w:szCs w:val="21"/>
              </w:rPr>
              <w:t>19</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永财建〔2020〕14号</w:t>
            </w:r>
          </w:p>
        </w:tc>
        <w:tc>
          <w:tcPr>
            <w:tcW w:w="1170"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4035.00 </w:t>
            </w:r>
          </w:p>
        </w:tc>
        <w:tc>
          <w:tcPr>
            <w:tcW w:w="1395" w:type="dxa"/>
            <w:vAlign w:val="center"/>
          </w:tcPr>
          <w:p>
            <w:pPr>
              <w:spacing w:line="240" w:lineRule="auto"/>
              <w:ind w:firstLine="0" w:firstLineChars="0"/>
              <w:jc w:val="right"/>
              <w:rPr>
                <w:rFonts w:ascii="宋体" w:hAnsi="宋体" w:eastAsia="宋体" w:cs="宋体"/>
                <w:sz w:val="21"/>
                <w:szCs w:val="21"/>
              </w:rPr>
            </w:pP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4035.00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2</w:t>
            </w:r>
            <w:r>
              <w:rPr>
                <w:rFonts w:hint="eastAsia" w:ascii="宋体" w:hAnsi="宋体" w:eastAsia="宋体" w:cs="宋体"/>
                <w:sz w:val="21"/>
                <w:szCs w:val="21"/>
              </w:rPr>
              <w:t>.</w:t>
            </w:r>
            <w:r>
              <w:rPr>
                <w:rFonts w:ascii="宋体" w:hAnsi="宋体" w:eastAsia="宋体" w:cs="宋体"/>
                <w:sz w:val="21"/>
                <w:szCs w:val="21"/>
              </w:rPr>
              <w:t>28</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永财预非税指〔2020〕016号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1110.97643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1110.97643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4</w:t>
            </w:r>
            <w:r>
              <w:rPr>
                <w:rFonts w:hint="eastAsia" w:ascii="宋体" w:hAnsi="宋体" w:eastAsia="宋体" w:cs="宋体"/>
                <w:sz w:val="21"/>
                <w:szCs w:val="21"/>
              </w:rPr>
              <w:t>.</w:t>
            </w:r>
            <w:r>
              <w:rPr>
                <w:rFonts w:ascii="宋体" w:hAnsi="宋体" w:eastAsia="宋体" w:cs="宋体"/>
                <w:sz w:val="21"/>
                <w:szCs w:val="21"/>
              </w:rPr>
              <w:t>13</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永财预非税指〔2020〕032号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105.81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105.81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9</w:t>
            </w:r>
            <w:r>
              <w:rPr>
                <w:rFonts w:hint="eastAsia" w:ascii="宋体" w:hAnsi="宋体" w:eastAsia="宋体" w:cs="宋体"/>
                <w:sz w:val="21"/>
                <w:szCs w:val="21"/>
              </w:rPr>
              <w:t>.</w:t>
            </w:r>
            <w:r>
              <w:rPr>
                <w:rFonts w:ascii="宋体" w:hAnsi="宋体" w:eastAsia="宋体" w:cs="宋体"/>
                <w:sz w:val="21"/>
                <w:szCs w:val="21"/>
              </w:rPr>
              <w:t>15</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永财预非税指〔2020〕095/96号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61.50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61.50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9</w:t>
            </w:r>
            <w:r>
              <w:rPr>
                <w:rFonts w:hint="eastAsia" w:ascii="宋体" w:hAnsi="宋体" w:eastAsia="宋体" w:cs="宋体"/>
                <w:sz w:val="21"/>
                <w:szCs w:val="21"/>
              </w:rPr>
              <w:t>.</w:t>
            </w:r>
            <w:r>
              <w:rPr>
                <w:rFonts w:ascii="宋体" w:hAnsi="宋体" w:eastAsia="宋体" w:cs="宋体"/>
                <w:sz w:val="21"/>
                <w:szCs w:val="21"/>
              </w:rPr>
              <w:t>21</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永财预〔2020〕012号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1000.00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2021</w:t>
            </w:r>
            <w:r>
              <w:rPr>
                <w:rFonts w:hint="eastAsia" w:ascii="宋体" w:hAnsi="宋体" w:eastAsia="宋体" w:cs="宋体"/>
                <w:sz w:val="21"/>
                <w:szCs w:val="21"/>
              </w:rPr>
              <w:t>.</w:t>
            </w:r>
            <w:r>
              <w:rPr>
                <w:rFonts w:ascii="宋体" w:hAnsi="宋体" w:eastAsia="宋体" w:cs="宋体"/>
                <w:sz w:val="21"/>
                <w:szCs w:val="21"/>
              </w:rPr>
              <w:t>2</w:t>
            </w:r>
            <w:r>
              <w:rPr>
                <w:rFonts w:hint="eastAsia" w:ascii="宋体" w:hAnsi="宋体" w:eastAsia="宋体" w:cs="宋体"/>
                <w:sz w:val="21"/>
                <w:szCs w:val="21"/>
              </w:rPr>
              <w:t>.</w:t>
            </w:r>
            <w:r>
              <w:rPr>
                <w:rFonts w:ascii="宋体" w:hAnsi="宋体" w:eastAsia="宋体" w:cs="宋体"/>
                <w:sz w:val="21"/>
                <w:szCs w:val="21"/>
              </w:rPr>
              <w:t>8</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永财预非税指〔2021〕008号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1205.217189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1205.217189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2021</w:t>
            </w:r>
            <w:r>
              <w:rPr>
                <w:rFonts w:hint="eastAsia" w:ascii="宋体" w:hAnsi="宋体" w:eastAsia="宋体" w:cs="宋体"/>
                <w:sz w:val="21"/>
                <w:szCs w:val="21"/>
              </w:rPr>
              <w:t>.</w:t>
            </w:r>
            <w:r>
              <w:rPr>
                <w:rFonts w:ascii="宋体" w:hAnsi="宋体" w:eastAsia="宋体" w:cs="宋体"/>
                <w:sz w:val="21"/>
                <w:szCs w:val="21"/>
              </w:rPr>
              <w:t>6</w:t>
            </w:r>
            <w:r>
              <w:rPr>
                <w:rFonts w:hint="eastAsia" w:ascii="宋体" w:hAnsi="宋体" w:eastAsia="宋体" w:cs="宋体"/>
                <w:sz w:val="21"/>
                <w:szCs w:val="21"/>
              </w:rPr>
              <w:t>.</w:t>
            </w:r>
            <w:r>
              <w:rPr>
                <w:rFonts w:ascii="宋体" w:hAnsi="宋体" w:eastAsia="宋体" w:cs="宋体"/>
                <w:sz w:val="21"/>
                <w:szCs w:val="21"/>
              </w:rPr>
              <w:t>28</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永财预〔2021〕004号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3600.00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2021</w:t>
            </w:r>
            <w:r>
              <w:rPr>
                <w:rFonts w:hint="eastAsia" w:ascii="宋体" w:hAnsi="宋体" w:eastAsia="宋体" w:cs="宋体"/>
                <w:sz w:val="21"/>
                <w:szCs w:val="21"/>
              </w:rPr>
              <w:t>.</w:t>
            </w:r>
            <w:r>
              <w:rPr>
                <w:rFonts w:ascii="宋体" w:hAnsi="宋体" w:eastAsia="宋体" w:cs="宋体"/>
                <w:sz w:val="21"/>
                <w:szCs w:val="21"/>
              </w:rPr>
              <w:t>6</w:t>
            </w:r>
            <w:r>
              <w:rPr>
                <w:rFonts w:hint="eastAsia" w:ascii="宋体" w:hAnsi="宋体" w:eastAsia="宋体" w:cs="宋体"/>
                <w:sz w:val="21"/>
                <w:szCs w:val="21"/>
              </w:rPr>
              <w:t>.</w:t>
            </w:r>
            <w:r>
              <w:rPr>
                <w:rFonts w:ascii="宋体" w:hAnsi="宋体" w:eastAsia="宋体" w:cs="宋体"/>
                <w:sz w:val="21"/>
                <w:szCs w:val="21"/>
              </w:rPr>
              <w:t>29</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永财预非税指〔2021〕067号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95.9459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95.9459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2022</w:t>
            </w:r>
            <w:r>
              <w:rPr>
                <w:rFonts w:hint="eastAsia" w:ascii="宋体" w:hAnsi="宋体" w:eastAsia="宋体" w:cs="宋体"/>
                <w:sz w:val="21"/>
                <w:szCs w:val="21"/>
              </w:rPr>
              <w:t>.</w:t>
            </w:r>
            <w:r>
              <w:rPr>
                <w:rFonts w:ascii="宋体" w:hAnsi="宋体" w:eastAsia="宋体" w:cs="宋体"/>
                <w:sz w:val="21"/>
                <w:szCs w:val="21"/>
              </w:rPr>
              <w:t>4</w:t>
            </w:r>
            <w:r>
              <w:rPr>
                <w:rFonts w:hint="eastAsia" w:ascii="宋体" w:hAnsi="宋体" w:eastAsia="宋体" w:cs="宋体"/>
                <w:sz w:val="21"/>
                <w:szCs w:val="21"/>
              </w:rPr>
              <w:t>.</w:t>
            </w:r>
            <w:r>
              <w:rPr>
                <w:rFonts w:ascii="宋体" w:hAnsi="宋体" w:eastAsia="宋体" w:cs="宋体"/>
                <w:sz w:val="21"/>
                <w:szCs w:val="21"/>
              </w:rPr>
              <w:t>25</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永财预非税指〔2022〕021号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120.6253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120.6253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850" w:type="dxa"/>
            <w:gridSpan w:val="2"/>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 计</w:t>
            </w:r>
          </w:p>
        </w:tc>
        <w:tc>
          <w:tcPr>
            <w:tcW w:w="1170" w:type="dxa"/>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5705.00</w:t>
            </w:r>
          </w:p>
        </w:tc>
        <w:tc>
          <w:tcPr>
            <w:tcW w:w="1395" w:type="dxa"/>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7300.074819</w:t>
            </w:r>
          </w:p>
        </w:tc>
        <w:tc>
          <w:tcPr>
            <w:tcW w:w="1515"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13005.074819</w:t>
            </w:r>
          </w:p>
        </w:tc>
      </w:tr>
    </w:tbl>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2.资金支出情况</w:t>
      </w:r>
      <w:bookmarkEnd w:id="195"/>
    </w:p>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截至2022年8月31日，永济沿黄旅游公路改建工程二三期累计支出资金11682.056426万元，园林及绿化累计支出1043.106033万元（为永济沿黄旅游公路改建工程总项目中的子项目，不包含在本次评价中），财政收回52.289069万元，单位结余财政资金227.623291万元。具体支出情况如下表所示：</w:t>
      </w:r>
    </w:p>
    <w:p>
      <w:pPr>
        <w:pStyle w:val="2"/>
        <w:ind w:left="640" w:firstLine="640"/>
      </w:pPr>
    </w:p>
    <w:p>
      <w:pPr>
        <w:spacing w:line="360" w:lineRule="exact"/>
        <w:ind w:firstLine="0" w:firstLineChars="0"/>
        <w:jc w:val="center"/>
        <w:rPr>
          <w:rFonts w:ascii="黑体" w:hAnsi="黑体" w:eastAsia="黑体" w:cs="黑体"/>
          <w:sz w:val="24"/>
        </w:rPr>
      </w:pPr>
      <w:r>
        <w:rPr>
          <w:rFonts w:hint="eastAsia" w:ascii="黑体" w:hAnsi="黑体" w:eastAsia="黑体" w:cs="黑体"/>
          <w:sz w:val="24"/>
        </w:rPr>
        <w:t xml:space="preserve"> 资金使用情况</w:t>
      </w:r>
    </w:p>
    <w:tbl>
      <w:tblPr>
        <w:tblStyle w:val="15"/>
        <w:tblW w:w="48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1"/>
        <w:gridCol w:w="1938"/>
        <w:gridCol w:w="1881"/>
        <w:gridCol w:w="1683"/>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bookmarkStart w:id="196" w:name="_Toc25613"/>
            <w:r>
              <w:rPr>
                <w:rFonts w:hint="eastAsia" w:cs="宋体"/>
                <w:b/>
                <w:bCs/>
                <w:sz w:val="21"/>
                <w:szCs w:val="21"/>
              </w:rPr>
              <w:t>项目标段</w:t>
            </w:r>
          </w:p>
        </w:tc>
        <w:tc>
          <w:tcPr>
            <w:tcW w:w="1078" w:type="pc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合同价        （万元）</w:t>
            </w:r>
          </w:p>
        </w:tc>
        <w:tc>
          <w:tcPr>
            <w:tcW w:w="1047" w:type="pc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已付价款     （万元）</w:t>
            </w:r>
          </w:p>
        </w:tc>
        <w:tc>
          <w:tcPr>
            <w:tcW w:w="937" w:type="pc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未付价款   （万元）</w:t>
            </w:r>
          </w:p>
        </w:tc>
        <w:tc>
          <w:tcPr>
            <w:tcW w:w="601" w:type="pct"/>
            <w:shd w:val="clear" w:color="auto" w:fill="BEBEBE"/>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支付率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张营-黄龙</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886.6235</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751.85675</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134.76675</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黄龙-大鸳鸯</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1085.2383</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922.45159</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162.78671</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大鸳鸯-南苏</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1008.3951</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775.11743</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233.27767</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南苏-太吕</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903.8668</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756.36244</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147.50436</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太吕-韩家庄</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871.2698</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735.0381</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136.2317</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杨马-万固寺西段</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613.0105</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545.6674</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67.3431</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西敬庄-张营</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2165.0058</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1830.3077</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334.6981</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雪花山-万固寺东段（1）</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1416.4819</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1331.0916</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85.3903</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雪花山-万固寺东段（2）</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659.1927</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557.84941</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101.34329</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安保</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459.9006</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390.91548</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68.98512</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监理</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131.16</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124.58</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6.58</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土地征用及拆迁补偿费</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2447.78575</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2447.78575</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检测费</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18.15</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18.15</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勘察设计费</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506.389</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440.3688</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66.0202</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技术评估费</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12.68</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12.68</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造价费</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27.04</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27.04</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管理费</w:t>
            </w:r>
          </w:p>
        </w:tc>
        <w:tc>
          <w:tcPr>
            <w:tcW w:w="1078"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14.793976</w:t>
            </w:r>
          </w:p>
        </w:tc>
        <w:tc>
          <w:tcPr>
            <w:tcW w:w="104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14.793976</w:t>
            </w:r>
          </w:p>
        </w:tc>
        <w:tc>
          <w:tcPr>
            <w:tcW w:w="937"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601" w:type="pct"/>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35" w:type="pct"/>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c>
          <w:tcPr>
            <w:tcW w:w="1078" w:type="pct"/>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13226.983726</w:t>
            </w:r>
          </w:p>
        </w:tc>
        <w:tc>
          <w:tcPr>
            <w:tcW w:w="1047" w:type="pct"/>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11682.056426</w:t>
            </w:r>
          </w:p>
        </w:tc>
        <w:tc>
          <w:tcPr>
            <w:tcW w:w="937" w:type="pct"/>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1544.9273</w:t>
            </w:r>
          </w:p>
        </w:tc>
        <w:tc>
          <w:tcPr>
            <w:tcW w:w="601" w:type="pct"/>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88.32%</w:t>
            </w:r>
          </w:p>
        </w:tc>
      </w:tr>
    </w:tbl>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三、财政资金合规性检查方法</w:t>
      </w:r>
      <w:bookmarkEnd w:id="196"/>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本次合规性检查通过对永济市交通运输局有关本项目资料的检查，包括现场核查、访谈、实地询问等方式。现场检查包括：项目单位的有关规章制度、年终总结、会计凭证、明细账和有关合同等。</w:t>
      </w:r>
    </w:p>
    <w:p>
      <w:pPr>
        <w:spacing w:line="240" w:lineRule="auto"/>
        <w:ind w:firstLine="560"/>
        <w:rPr>
          <w:rFonts w:ascii="仿宋_GB2312" w:hAnsi="仿宋_GB2312" w:eastAsia="仿宋_GB2312" w:cs="仿宋_GB2312"/>
          <w:sz w:val="28"/>
          <w:szCs w:val="28"/>
        </w:rPr>
      </w:pPr>
      <w:bookmarkStart w:id="197" w:name="_Toc27640"/>
      <w:r>
        <w:rPr>
          <w:rFonts w:hint="eastAsia" w:ascii="仿宋_GB2312" w:hAnsi="仿宋_GB2312" w:eastAsia="仿宋_GB2312" w:cs="仿宋_GB2312"/>
          <w:sz w:val="28"/>
          <w:szCs w:val="28"/>
        </w:rPr>
        <w:t>四、检查结果</w:t>
      </w:r>
      <w:bookmarkEnd w:id="197"/>
    </w:p>
    <w:p>
      <w:pPr>
        <w:ind w:firstLine="560"/>
        <w:jc w:val="both"/>
        <w:rPr>
          <w:rFonts w:ascii="仿宋_GB2312" w:hAnsi="仿宋_GB2312" w:eastAsia="仿宋_GB2312" w:cs="仿宋_GB2312"/>
          <w:sz w:val="28"/>
          <w:szCs w:val="28"/>
        </w:rPr>
      </w:pPr>
      <w:bookmarkStart w:id="198" w:name="_Toc10721"/>
      <w:bookmarkStart w:id="199" w:name="_Toc12376"/>
      <w:r>
        <w:rPr>
          <w:rFonts w:hint="eastAsia" w:ascii="仿宋_GB2312" w:hAnsi="仿宋_GB2312" w:eastAsia="仿宋_GB2312" w:cs="仿宋_GB2312"/>
          <w:sz w:val="28"/>
          <w:szCs w:val="28"/>
        </w:rPr>
        <w:t>（一）财务管理</w:t>
      </w:r>
      <w:bookmarkEnd w:id="198"/>
      <w:bookmarkEnd w:id="199"/>
    </w:p>
    <w:p>
      <w:pPr>
        <w:ind w:firstLine="560"/>
        <w:jc w:val="both"/>
        <w:rPr>
          <w:rFonts w:ascii="仿宋_GB2312" w:hAnsi="仿宋_GB2312" w:eastAsia="仿宋_GB2312" w:cs="仿宋_GB2312"/>
          <w:sz w:val="28"/>
          <w:szCs w:val="28"/>
        </w:rPr>
      </w:pPr>
      <w:bookmarkStart w:id="200" w:name="_Toc2898"/>
      <w:r>
        <w:rPr>
          <w:rFonts w:hint="eastAsia" w:ascii="仿宋_GB2312" w:hAnsi="仿宋_GB2312" w:eastAsia="仿宋_GB2312" w:cs="仿宋_GB2312"/>
          <w:sz w:val="28"/>
          <w:szCs w:val="28"/>
        </w:rPr>
        <w:t>1.资金、财务会计管理制度</w:t>
      </w:r>
      <w:bookmarkEnd w:id="200"/>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项目实施单位制定有财务管理制度、内控制度，对支出预算管理、支出事项审批管理、经费支出管理、监督责任等有具体的规定，依照有关制度和办法对财务活动进行管理，管理合规。</w:t>
      </w:r>
      <w:bookmarkStart w:id="201" w:name="_Toc22051"/>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2.预算编制</w:t>
      </w:r>
      <w:bookmarkEnd w:id="201"/>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通过项目立项业务和财务材料核查获取数据，发现预算编制论证依据科学，预算额度测算准确性较高。</w:t>
      </w:r>
      <w:bookmarkStart w:id="202" w:name="_Toc5152"/>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3.资金监控</w:t>
      </w:r>
      <w:bookmarkEnd w:id="202"/>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项目实施单位具有相应的财务监控机制并采取了相应的财务检查必要的监控措施或手段，有分管领导对项目资金使用情况审核签字。</w:t>
      </w:r>
      <w:bookmarkStart w:id="203" w:name="_Toc10703"/>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（二）业务管理</w:t>
      </w:r>
      <w:bookmarkEnd w:id="203"/>
    </w:p>
    <w:p>
      <w:pPr>
        <w:ind w:firstLine="560"/>
        <w:jc w:val="both"/>
        <w:rPr>
          <w:rFonts w:ascii="仿宋_GB2312" w:hAnsi="仿宋_GB2312" w:eastAsia="仿宋_GB2312" w:cs="仿宋_GB2312"/>
          <w:sz w:val="28"/>
          <w:szCs w:val="28"/>
        </w:rPr>
      </w:pPr>
      <w:bookmarkStart w:id="204" w:name="_Toc7465"/>
      <w:r>
        <w:rPr>
          <w:rFonts w:hint="eastAsia" w:ascii="仿宋_GB2312" w:hAnsi="仿宋_GB2312" w:eastAsia="仿宋_GB2312" w:cs="仿宋_GB2312"/>
          <w:sz w:val="28"/>
          <w:szCs w:val="28"/>
        </w:rPr>
        <w:t>1.业务管理制度</w:t>
      </w:r>
      <w:bookmarkEnd w:id="204"/>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永济市交通运输局制定有工程管理办法、工程施工现场管理办法、工程质量管理办法、资金管理办法等制度。但未制定项目后期维护管理制度。</w:t>
      </w:r>
    </w:p>
    <w:p>
      <w:pPr>
        <w:ind w:firstLine="560"/>
        <w:jc w:val="both"/>
        <w:rPr>
          <w:rFonts w:ascii="仿宋_GB2312" w:hAnsi="仿宋_GB2312" w:eastAsia="仿宋_GB2312" w:cs="仿宋_GB2312"/>
          <w:sz w:val="28"/>
          <w:szCs w:val="28"/>
        </w:rPr>
      </w:pPr>
      <w:bookmarkStart w:id="205" w:name="_Toc29747"/>
      <w:r>
        <w:rPr>
          <w:rFonts w:hint="eastAsia" w:ascii="仿宋_GB2312" w:hAnsi="仿宋_GB2312" w:eastAsia="仿宋_GB2312" w:cs="仿宋_GB2312"/>
          <w:sz w:val="28"/>
          <w:szCs w:val="28"/>
        </w:rPr>
        <w:t>2.制度执行</w:t>
      </w:r>
      <w:bookmarkEnd w:id="205"/>
    </w:p>
    <w:p>
      <w:pPr>
        <w:ind w:firstLine="560"/>
        <w:jc w:val="both"/>
        <w:rPr>
          <w:rFonts w:ascii="仿宋_GB2312" w:hAnsi="仿宋_GB2312" w:eastAsia="仿宋_GB2312" w:cs="仿宋_GB2312"/>
          <w:sz w:val="28"/>
          <w:szCs w:val="28"/>
        </w:rPr>
      </w:pPr>
      <w:bookmarkStart w:id="206" w:name="_Toc31328"/>
      <w:r>
        <w:rPr>
          <w:rFonts w:hint="eastAsia" w:ascii="仿宋_GB2312" w:hAnsi="仿宋_GB2312" w:eastAsia="仿宋_GB2312" w:cs="仿宋_GB2312"/>
          <w:sz w:val="28"/>
          <w:szCs w:val="28"/>
        </w:rPr>
        <w:t>永济沿黄旅游公路改建项目工作按照永济市交通运输局制定的项目质量管理制度、资金管理制度等执行，制度执行到位。</w:t>
      </w:r>
    </w:p>
    <w:p>
      <w:pPr>
        <w:ind w:firstLine="560"/>
        <w:jc w:val="both"/>
        <w:rPr>
          <w:rFonts w:ascii="仿宋_GB2312" w:hAnsi="仿宋_GB2312" w:eastAsia="仿宋_GB2312" w:cs="仿宋_GB2312"/>
          <w:sz w:val="28"/>
          <w:szCs w:val="28"/>
        </w:rPr>
      </w:pPr>
      <w:bookmarkStart w:id="207" w:name="_Toc31965"/>
      <w:r>
        <w:rPr>
          <w:rFonts w:hint="eastAsia" w:ascii="仿宋_GB2312" w:hAnsi="仿宋_GB2312" w:eastAsia="仿宋_GB2312" w:cs="仿宋_GB2312"/>
          <w:sz w:val="28"/>
          <w:szCs w:val="28"/>
        </w:rPr>
        <w:t>（三）财务合规性检查</w:t>
      </w:r>
      <w:bookmarkEnd w:id="206"/>
      <w:bookmarkEnd w:id="207"/>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永济沿黄旅游公路改建</w:t>
      </w:r>
      <w:r>
        <w:rPr>
          <w:rFonts w:hint="eastAsia" w:ascii="仿宋_GB2312" w:hAnsi="仿宋_GB2312" w:eastAsia="仿宋_GB2312" w:cs="仿宋_GB2312"/>
          <w:sz w:val="28"/>
          <w:szCs w:val="28"/>
          <w:lang w:val="en-US" w:eastAsia="zh-CN"/>
        </w:rPr>
        <w:t>工程</w:t>
      </w:r>
      <w:r>
        <w:rPr>
          <w:rFonts w:hint="eastAsia" w:ascii="仿宋_GB2312" w:hAnsi="仿宋_GB2312" w:eastAsia="仿宋_GB2312" w:cs="仿宋_GB2312"/>
          <w:sz w:val="28"/>
          <w:szCs w:val="28"/>
        </w:rPr>
        <w:t>项目二三期资金的使用符合国家财经法规和财务管理制度以及有关专项资金管理办法的规定；项目资金的拨付有完整的审批程序和手续，符合项目预算批复规定的用途。</w:t>
      </w:r>
      <w:r>
        <w:rPr>
          <w:rFonts w:hint="eastAsia" w:ascii="仿宋_GB2312" w:hAnsi="仿宋_GB2312" w:eastAsia="仿宋_GB2312" w:cs="仿宋_GB2312"/>
          <w:sz w:val="28"/>
          <w:szCs w:val="28"/>
        </w:rPr>
        <w:br w:type="page"/>
      </w:r>
    </w:p>
    <w:p>
      <w:pPr>
        <w:pStyle w:val="3"/>
        <w:spacing w:before="0" w:after="0" w:line="240" w:lineRule="auto"/>
        <w:ind w:firstLine="0" w:firstLineChars="0"/>
        <w:jc w:val="left"/>
        <w:rPr>
          <w:rFonts w:ascii="黑体" w:hAnsi="黑体" w:eastAsia="黑体" w:cs="黑体"/>
          <w:bCs/>
          <w:sz w:val="32"/>
          <w:szCs w:val="32"/>
        </w:rPr>
      </w:pPr>
      <w:bookmarkStart w:id="208" w:name="_Toc22491"/>
      <w:bookmarkStart w:id="209" w:name="_Toc29869"/>
      <w:r>
        <w:rPr>
          <w:rFonts w:hint="eastAsia" w:ascii="黑体" w:hAnsi="黑体" w:eastAsia="黑体" w:cs="黑体"/>
          <w:bCs/>
          <w:sz w:val="32"/>
          <w:szCs w:val="32"/>
        </w:rPr>
        <w:t>附件</w:t>
      </w:r>
      <w:bookmarkEnd w:id="208"/>
      <w:bookmarkEnd w:id="209"/>
      <w:r>
        <w:rPr>
          <w:rFonts w:hint="eastAsia" w:ascii="黑体" w:hAnsi="黑体" w:eastAsia="黑体" w:cs="黑体"/>
          <w:bCs/>
          <w:sz w:val="32"/>
          <w:szCs w:val="32"/>
        </w:rPr>
        <w:t>7</w:t>
      </w:r>
    </w:p>
    <w:p>
      <w:pPr>
        <w:ind w:firstLine="643"/>
        <w:jc w:val="center"/>
        <w:rPr>
          <w:rFonts w:ascii="仿宋_GB2312" w:hAnsi="仿宋_GB2312" w:eastAsia="仿宋_GB2312" w:cs="仿宋_GB2312"/>
          <w:b/>
          <w:bCs/>
          <w:szCs w:val="32"/>
          <w:lang w:val="zh-CN"/>
        </w:rPr>
      </w:pPr>
      <w:bookmarkStart w:id="210" w:name="_Toc13855"/>
      <w:r>
        <w:rPr>
          <w:rFonts w:hint="eastAsia" w:ascii="仿宋_GB2312" w:hAnsi="仿宋_GB2312" w:eastAsia="仿宋_GB2312" w:cs="仿宋_GB2312"/>
          <w:b/>
          <w:bCs/>
          <w:szCs w:val="32"/>
        </w:rPr>
        <w:t>永济沿黄旅游公路改建工程</w:t>
      </w:r>
      <w:r>
        <w:rPr>
          <w:rFonts w:hint="eastAsia" w:ascii="仿宋_GB2312" w:hAnsi="仿宋_GB2312" w:eastAsia="仿宋_GB2312" w:cs="仿宋_GB2312"/>
          <w:b/>
          <w:bCs/>
          <w:szCs w:val="32"/>
          <w:lang w:val="zh-CN"/>
        </w:rPr>
        <w:t>项目</w:t>
      </w:r>
      <w:bookmarkEnd w:id="210"/>
    </w:p>
    <w:p>
      <w:pPr>
        <w:ind w:firstLine="643"/>
        <w:jc w:val="center"/>
        <w:rPr>
          <w:rFonts w:ascii="仿宋_GB2312" w:hAnsi="仿宋_GB2312" w:eastAsia="仿宋_GB2312" w:cs="仿宋_GB2312"/>
          <w:b/>
          <w:bCs/>
          <w:szCs w:val="32"/>
          <w:lang w:val="zh-CN"/>
        </w:rPr>
      </w:pPr>
      <w:bookmarkStart w:id="211" w:name="_Toc17815"/>
      <w:r>
        <w:rPr>
          <w:rFonts w:hint="eastAsia" w:ascii="仿宋_GB2312" w:hAnsi="仿宋_GB2312" w:eastAsia="仿宋_GB2312" w:cs="仿宋_GB2312"/>
          <w:b/>
          <w:bCs/>
          <w:szCs w:val="32"/>
          <w:lang w:val="zh-CN"/>
        </w:rPr>
        <w:t>基础信息及自评报告复核情况表</w:t>
      </w:r>
      <w:bookmarkEnd w:id="211"/>
    </w:p>
    <w:tbl>
      <w:tblPr>
        <w:tblStyle w:val="16"/>
        <w:tblW w:w="896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3800"/>
        <w:gridCol w:w="1730"/>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blHeader/>
        </w:trPr>
        <w:tc>
          <w:tcPr>
            <w:tcW w:w="152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项目名称</w:t>
            </w:r>
          </w:p>
        </w:tc>
        <w:tc>
          <w:tcPr>
            <w:tcW w:w="4005" w:type="dxa"/>
            <w:vAlign w:val="center"/>
          </w:tcPr>
          <w:p>
            <w:pPr>
              <w:spacing w:line="240" w:lineRule="auto"/>
              <w:ind w:firstLine="0" w:firstLineChars="0"/>
              <w:jc w:val="both"/>
              <w:rPr>
                <w:rFonts w:ascii="宋体" w:hAnsi="宋体" w:eastAsia="宋体" w:cs="宋体"/>
                <w:sz w:val="21"/>
                <w:szCs w:val="21"/>
              </w:rPr>
            </w:pPr>
            <w:r>
              <w:rPr>
                <w:rFonts w:hint="eastAsia" w:ascii="宋体" w:hAnsi="宋体" w:eastAsia="宋体" w:cs="宋体"/>
                <w:sz w:val="21"/>
                <w:szCs w:val="21"/>
              </w:rPr>
              <w:t>永济沿黄旅游工程改建工程</w:t>
            </w:r>
          </w:p>
        </w:tc>
        <w:tc>
          <w:tcPr>
            <w:tcW w:w="159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主管部门</w:t>
            </w:r>
          </w:p>
        </w:tc>
        <w:tc>
          <w:tcPr>
            <w:tcW w:w="1845" w:type="dxa"/>
            <w:vAlign w:val="center"/>
          </w:tcPr>
          <w:p>
            <w:pPr>
              <w:spacing w:line="24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152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实施期间</w:t>
            </w:r>
          </w:p>
        </w:tc>
        <w:tc>
          <w:tcPr>
            <w:tcW w:w="7440" w:type="dxa"/>
            <w:gridSpan w:val="3"/>
            <w:vAlign w:val="center"/>
          </w:tcPr>
          <w:p>
            <w:pPr>
              <w:spacing w:line="240" w:lineRule="auto"/>
              <w:ind w:firstLine="0" w:firstLineChars="0"/>
              <w:jc w:val="left"/>
              <w:rPr>
                <w:rFonts w:ascii="宋体" w:hAnsi="宋体" w:eastAsia="宋体" w:cs="宋体"/>
                <w:sz w:val="21"/>
                <w:szCs w:val="21"/>
              </w:rPr>
            </w:pPr>
            <w:r>
              <w:rPr>
                <w:rFonts w:hint="eastAsia" w:ascii="宋体" w:hAnsi="宋体" w:eastAsia="宋体" w:cs="宋体"/>
                <w:sz w:val="21"/>
                <w:szCs w:val="21"/>
              </w:rPr>
              <w:t>2019-2021年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blHeader/>
        </w:trPr>
        <w:tc>
          <w:tcPr>
            <w:tcW w:w="1520" w:type="dxa"/>
            <w:vAlign w:val="center"/>
          </w:tcPr>
          <w:p>
            <w:pPr>
              <w:pStyle w:val="25"/>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实施单位</w:t>
            </w:r>
          </w:p>
        </w:tc>
        <w:tc>
          <w:tcPr>
            <w:tcW w:w="7440" w:type="dxa"/>
            <w:gridSpan w:val="3"/>
            <w:vAlign w:val="center"/>
          </w:tcPr>
          <w:p>
            <w:pPr>
              <w:pStyle w:val="25"/>
              <w:spacing w:line="240" w:lineRule="auto"/>
              <w:ind w:firstLine="0" w:firstLineChars="0"/>
              <w:jc w:val="left"/>
              <w:rPr>
                <w:rFonts w:ascii="宋体" w:hAnsi="宋体" w:eastAsia="宋体" w:cs="宋体"/>
                <w:sz w:val="21"/>
                <w:szCs w:val="21"/>
              </w:rPr>
            </w:pPr>
            <w:r>
              <w:rPr>
                <w:rFonts w:hint="eastAsia" w:ascii="宋体" w:hAnsi="宋体" w:eastAsia="宋体" w:cs="宋体"/>
                <w:sz w:val="21"/>
                <w:szCs w:val="21"/>
              </w:rPr>
              <w:t>永济市交通运输局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trPr>
        <w:tc>
          <w:tcPr>
            <w:tcW w:w="8960" w:type="dxa"/>
            <w:gridSpan w:val="4"/>
            <w:vAlign w:val="center"/>
          </w:tcPr>
          <w:p>
            <w:pPr>
              <w:pStyle w:val="25"/>
              <w:spacing w:line="360" w:lineRule="auto"/>
              <w:ind w:firstLine="422"/>
              <w:jc w:val="both"/>
              <w:rPr>
                <w:rFonts w:ascii="宋体" w:hAnsi="宋体" w:eastAsia="宋体" w:cs="宋体"/>
                <w:b/>
                <w:bCs/>
                <w:sz w:val="21"/>
                <w:szCs w:val="21"/>
              </w:rPr>
            </w:pPr>
            <w:r>
              <w:rPr>
                <w:rFonts w:hint="eastAsia" w:ascii="宋体" w:hAnsi="宋体" w:eastAsia="宋体" w:cs="宋体"/>
                <w:b/>
                <w:bCs/>
                <w:sz w:val="21"/>
                <w:szCs w:val="21"/>
              </w:rPr>
              <w:t>一、基本情况</w:t>
            </w:r>
          </w:p>
          <w:p>
            <w:pPr>
              <w:ind w:firstLine="420"/>
              <w:jc w:val="both"/>
              <w:rPr>
                <w:rFonts w:ascii="宋体" w:hAnsi="宋体" w:eastAsia="宋体" w:cs="宋体"/>
                <w:sz w:val="21"/>
                <w:szCs w:val="21"/>
              </w:rPr>
            </w:pPr>
            <w:r>
              <w:rPr>
                <w:rFonts w:hint="eastAsia" w:ascii="宋体" w:hAnsi="宋体" w:eastAsia="宋体" w:cs="宋体"/>
                <w:sz w:val="21"/>
                <w:szCs w:val="21"/>
              </w:rPr>
              <w:t>山西省提出发展黄河、长城、太行三大旅游板块，利用山西旅游资源优势，推动文化旅游融合发展，打造“夏养山西”康养产业集群，打造文化旅游村镇。黄河、长城、太行扶贫旅游公路（一号公路）是山西省省委、省政府开发三大旅游板块、打造国家全域旅游示范区的重要组成部分。</w:t>
            </w:r>
          </w:p>
          <w:p>
            <w:pPr>
              <w:ind w:firstLine="420"/>
              <w:jc w:val="both"/>
              <w:rPr>
                <w:rFonts w:ascii="宋体" w:hAnsi="宋体" w:eastAsia="宋体" w:cs="宋体"/>
                <w:sz w:val="21"/>
                <w:szCs w:val="21"/>
              </w:rPr>
            </w:pPr>
            <w:r>
              <w:rPr>
                <w:rFonts w:hint="eastAsia" w:ascii="宋体" w:hAnsi="宋体" w:eastAsia="宋体" w:cs="宋体"/>
                <w:sz w:val="21"/>
                <w:szCs w:val="21"/>
              </w:rPr>
              <w:t>永济市地处晋、陕、豫“黄河金三角”的核心地带，是山西的“南大门”，西临“母亲河”、南屏中条山、北望峨眉岭、腹有伍姓湖、横贯涑水河，区位优势明显，交通条件便利，被授予“中国优秀旅游城市”。</w:t>
            </w:r>
          </w:p>
          <w:p>
            <w:pPr>
              <w:pStyle w:val="25"/>
              <w:spacing w:line="360" w:lineRule="auto"/>
              <w:ind w:firstLine="420"/>
              <w:jc w:val="both"/>
              <w:rPr>
                <w:rFonts w:ascii="宋体" w:hAnsi="宋体" w:eastAsia="宋体" w:cs="宋体"/>
                <w:sz w:val="21"/>
                <w:szCs w:val="21"/>
              </w:rPr>
            </w:pPr>
            <w:r>
              <w:rPr>
                <w:rFonts w:hint="eastAsia" w:ascii="宋体" w:hAnsi="宋体" w:eastAsia="宋体" w:cs="宋体"/>
                <w:sz w:val="21"/>
                <w:szCs w:val="21"/>
              </w:rPr>
              <w:t>为积极响应国家和山西号召，充分发挥山西旅游业优势，适应山西经济转型升级和国家全域旅游示范区创建需要，进一步推进永济市旅游产业发展进程，提升永济市旅游文化品位，结合沿黄旅游公路现状，制定了《永济市全域旅游总体规划及三年行动计划（2017-2021）》，开展永济沿黄旅游公路改建工程。项目分期开展，本次评价永济沿黄旅游公路改建工程二三期。</w:t>
            </w:r>
          </w:p>
          <w:p>
            <w:pPr>
              <w:pStyle w:val="25"/>
              <w:spacing w:line="360" w:lineRule="auto"/>
              <w:ind w:firstLine="422"/>
              <w:jc w:val="both"/>
              <w:rPr>
                <w:rFonts w:ascii="宋体" w:hAnsi="宋体" w:eastAsia="宋体" w:cs="宋体"/>
                <w:b/>
                <w:bCs/>
                <w:sz w:val="21"/>
                <w:szCs w:val="21"/>
              </w:rPr>
            </w:pPr>
            <w:r>
              <w:rPr>
                <w:rFonts w:hint="eastAsia" w:ascii="宋体" w:hAnsi="宋体" w:eastAsia="宋体" w:cs="宋体"/>
                <w:b/>
                <w:bCs/>
                <w:sz w:val="21"/>
                <w:szCs w:val="21"/>
              </w:rPr>
              <w:t>二、绩效目标</w:t>
            </w:r>
          </w:p>
          <w:p>
            <w:pPr>
              <w:pStyle w:val="25"/>
              <w:spacing w:line="360" w:lineRule="auto"/>
              <w:ind w:firstLine="422"/>
              <w:jc w:val="both"/>
              <w:rPr>
                <w:rFonts w:ascii="宋体" w:hAnsi="宋体" w:eastAsia="宋体" w:cs="宋体"/>
                <w:b/>
                <w:bCs/>
                <w:sz w:val="21"/>
                <w:szCs w:val="21"/>
              </w:rPr>
            </w:pPr>
            <w:r>
              <w:rPr>
                <w:rFonts w:hint="eastAsia" w:ascii="宋体" w:hAnsi="宋体" w:eastAsia="宋体" w:cs="宋体"/>
                <w:b/>
                <w:bCs/>
                <w:sz w:val="21"/>
                <w:szCs w:val="21"/>
              </w:rPr>
              <w:t>1.项目年度总体目标</w:t>
            </w:r>
          </w:p>
          <w:p>
            <w:pPr>
              <w:pStyle w:val="25"/>
              <w:spacing w:line="360" w:lineRule="auto"/>
              <w:ind w:firstLine="420"/>
              <w:jc w:val="both"/>
              <w:rPr>
                <w:rFonts w:ascii="宋体" w:hAnsi="宋体" w:eastAsia="宋体" w:cs="宋体"/>
                <w:sz w:val="21"/>
                <w:szCs w:val="21"/>
              </w:rPr>
            </w:pPr>
            <w:r>
              <w:rPr>
                <w:rFonts w:hint="eastAsia" w:ascii="宋体" w:hAnsi="宋体" w:eastAsia="宋体" w:cs="宋体"/>
                <w:sz w:val="21"/>
                <w:szCs w:val="21"/>
              </w:rPr>
              <w:t>进一步完善永济市的旅游公路，改善基础设施、生产运输条件，为沿线地区经济社会发展提供优质的交通服务，促进永济市经济和旅游业的发展，把旅游公路建设与本地旅游资源深度融合，有效串联沿线旅游景点，改善交通面貌的同时助力当地经济发展，带动富民增收，改善人民的生活环境。</w:t>
            </w:r>
          </w:p>
          <w:p>
            <w:pPr>
              <w:pStyle w:val="25"/>
              <w:spacing w:line="360" w:lineRule="auto"/>
              <w:ind w:firstLine="422"/>
              <w:jc w:val="both"/>
              <w:rPr>
                <w:rFonts w:ascii="宋体" w:hAnsi="宋体" w:eastAsia="宋体" w:cs="宋体"/>
                <w:b/>
                <w:bCs/>
                <w:sz w:val="21"/>
                <w:szCs w:val="21"/>
              </w:rPr>
            </w:pPr>
            <w:r>
              <w:rPr>
                <w:rFonts w:hint="eastAsia" w:ascii="宋体" w:hAnsi="宋体" w:eastAsia="宋体" w:cs="宋体"/>
                <w:b/>
                <w:bCs/>
                <w:sz w:val="21"/>
                <w:szCs w:val="21"/>
              </w:rPr>
              <w:t>2.项目绩效指标</w:t>
            </w:r>
          </w:p>
          <w:p>
            <w:pPr>
              <w:pStyle w:val="25"/>
              <w:spacing w:line="360" w:lineRule="auto"/>
              <w:ind w:firstLine="420"/>
              <w:jc w:val="both"/>
              <w:rPr>
                <w:rFonts w:ascii="宋体" w:hAnsi="宋体" w:eastAsia="宋体" w:cs="宋体"/>
                <w:sz w:val="21"/>
                <w:szCs w:val="21"/>
              </w:rPr>
            </w:pPr>
            <w:r>
              <w:rPr>
                <w:rFonts w:hint="eastAsia" w:ascii="宋体" w:hAnsi="宋体" w:eastAsia="宋体" w:cs="宋体"/>
                <w:sz w:val="21"/>
                <w:szCs w:val="21"/>
              </w:rPr>
              <w:t>（1）产出指标</w:t>
            </w:r>
          </w:p>
          <w:tbl>
            <w:tblPr>
              <w:tblStyle w:val="15"/>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5"/>
              <w:gridCol w:w="2531"/>
              <w:gridCol w:w="778"/>
              <w:gridCol w:w="2383"/>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327" w:type="dxa"/>
                  <w:shd w:val="clear" w:color="auto" w:fill="auto"/>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项目名称</w:t>
                  </w:r>
                </w:p>
              </w:tc>
              <w:tc>
                <w:tcPr>
                  <w:tcW w:w="2565" w:type="dxa"/>
                  <w:shd w:val="clear" w:color="auto" w:fill="auto"/>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数量指标</w:t>
                  </w:r>
                </w:p>
              </w:tc>
              <w:tc>
                <w:tcPr>
                  <w:tcW w:w="786" w:type="dxa"/>
                  <w:shd w:val="clear" w:color="auto" w:fill="auto"/>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质量 指标</w:t>
                  </w:r>
                </w:p>
              </w:tc>
              <w:tc>
                <w:tcPr>
                  <w:tcW w:w="2415" w:type="dxa"/>
                  <w:shd w:val="clear" w:color="auto" w:fill="auto"/>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时效指标</w:t>
                  </w:r>
                </w:p>
              </w:tc>
              <w:tc>
                <w:tcPr>
                  <w:tcW w:w="855" w:type="dxa"/>
                  <w:shd w:val="clear" w:color="auto" w:fill="auto"/>
                  <w:noWrap/>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成本  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blHeader/>
                <w:jc w:val="center"/>
              </w:trPr>
              <w:tc>
                <w:tcPr>
                  <w:tcW w:w="2327"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张营至文学段</w:t>
                  </w:r>
                </w:p>
              </w:tc>
              <w:tc>
                <w:tcPr>
                  <w:tcW w:w="256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道路长17.178千米。</w:t>
                  </w:r>
                </w:p>
              </w:tc>
              <w:tc>
                <w:tcPr>
                  <w:tcW w:w="786"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2019.12.1-2020.11.30共计365日历天</w:t>
                  </w:r>
                </w:p>
              </w:tc>
              <w:tc>
                <w:tcPr>
                  <w:tcW w:w="85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327"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杨马至万固寺段</w:t>
                  </w:r>
                </w:p>
              </w:tc>
              <w:tc>
                <w:tcPr>
                  <w:tcW w:w="256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道路长3.27千米。</w:t>
                  </w:r>
                </w:p>
              </w:tc>
              <w:tc>
                <w:tcPr>
                  <w:tcW w:w="786"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2019.12.1-2020.11.30共计365日历天</w:t>
                  </w:r>
                </w:p>
              </w:tc>
              <w:tc>
                <w:tcPr>
                  <w:tcW w:w="85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327"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西敬庄至张营段</w:t>
                  </w:r>
                </w:p>
              </w:tc>
              <w:tc>
                <w:tcPr>
                  <w:tcW w:w="256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道路长6.227千米。</w:t>
                  </w:r>
                </w:p>
              </w:tc>
              <w:tc>
                <w:tcPr>
                  <w:tcW w:w="786"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2020.10.20-2021.7.20共计270日历天</w:t>
                  </w:r>
                </w:p>
              </w:tc>
              <w:tc>
                <w:tcPr>
                  <w:tcW w:w="85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jc w:val="center"/>
              </w:trPr>
              <w:tc>
                <w:tcPr>
                  <w:tcW w:w="2327"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雪花山至万固寺东段（一标）</w:t>
                  </w:r>
                </w:p>
              </w:tc>
              <w:tc>
                <w:tcPr>
                  <w:tcW w:w="256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道路长4.725千米。</w:t>
                  </w:r>
                </w:p>
              </w:tc>
              <w:tc>
                <w:tcPr>
                  <w:tcW w:w="786"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2020.10.20-2021.7.20共计270日历天</w:t>
                  </w:r>
                </w:p>
              </w:tc>
              <w:tc>
                <w:tcPr>
                  <w:tcW w:w="85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blHeader/>
                <w:jc w:val="center"/>
              </w:trPr>
              <w:tc>
                <w:tcPr>
                  <w:tcW w:w="2327"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雪花山至万固寺东段（二标）</w:t>
                  </w:r>
                </w:p>
              </w:tc>
              <w:tc>
                <w:tcPr>
                  <w:tcW w:w="256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道路长4.739千米。</w:t>
                  </w:r>
                </w:p>
              </w:tc>
              <w:tc>
                <w:tcPr>
                  <w:tcW w:w="786"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2020.10.20-2021.7.20共计275日历天</w:t>
                  </w:r>
                </w:p>
              </w:tc>
              <w:tc>
                <w:tcPr>
                  <w:tcW w:w="85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327"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安保</w:t>
                  </w:r>
                </w:p>
              </w:tc>
              <w:tc>
                <w:tcPr>
                  <w:tcW w:w="256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波形护栏16460米、交通标志144块、交通标线8838.3平方米、里程碑20个、百米桩185个。</w:t>
                  </w:r>
                </w:p>
              </w:tc>
              <w:tc>
                <w:tcPr>
                  <w:tcW w:w="786"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合格</w:t>
                  </w:r>
                </w:p>
              </w:tc>
              <w:tc>
                <w:tcPr>
                  <w:tcW w:w="241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2020.10.20-2021.7.20共计275日历天</w:t>
                  </w:r>
                </w:p>
              </w:tc>
              <w:tc>
                <w:tcPr>
                  <w:tcW w:w="855" w:type="dxa"/>
                  <w:noWrap/>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bl>
          <w:p>
            <w:pPr>
              <w:pStyle w:val="25"/>
              <w:spacing w:line="360" w:lineRule="auto"/>
              <w:ind w:firstLine="420"/>
              <w:jc w:val="both"/>
              <w:rPr>
                <w:rFonts w:ascii="宋体" w:hAnsi="宋体" w:eastAsia="宋体" w:cs="宋体"/>
                <w:sz w:val="21"/>
                <w:szCs w:val="21"/>
              </w:rPr>
            </w:pPr>
            <w:r>
              <w:rPr>
                <w:rFonts w:hint="eastAsia" w:ascii="宋体" w:hAnsi="宋体" w:eastAsia="宋体" w:cs="宋体"/>
                <w:sz w:val="21"/>
                <w:szCs w:val="21"/>
              </w:rPr>
              <w:t>（2）效益指标</w:t>
            </w:r>
          </w:p>
          <w:p>
            <w:pPr>
              <w:pStyle w:val="25"/>
              <w:spacing w:line="360" w:lineRule="auto"/>
              <w:ind w:firstLine="420"/>
              <w:jc w:val="both"/>
              <w:rPr>
                <w:rFonts w:ascii="宋体" w:hAnsi="宋体" w:eastAsia="宋体" w:cs="宋体"/>
                <w:sz w:val="21"/>
                <w:szCs w:val="21"/>
              </w:rPr>
            </w:pPr>
            <w:r>
              <w:rPr>
                <w:rFonts w:hint="eastAsia" w:ascii="宋体" w:hAnsi="宋体" w:eastAsia="宋体" w:cs="宋体"/>
                <w:sz w:val="21"/>
                <w:szCs w:val="21"/>
              </w:rPr>
              <w:t>社会效益：改善交通路网情况；促进旅游业发展。</w:t>
            </w:r>
          </w:p>
          <w:p>
            <w:pPr>
              <w:pStyle w:val="25"/>
              <w:spacing w:line="360" w:lineRule="auto"/>
              <w:ind w:firstLine="420"/>
              <w:jc w:val="both"/>
              <w:rPr>
                <w:rFonts w:ascii="宋体" w:hAnsi="宋体" w:eastAsia="宋体" w:cs="宋体"/>
                <w:sz w:val="21"/>
                <w:szCs w:val="21"/>
              </w:rPr>
            </w:pPr>
            <w:r>
              <w:rPr>
                <w:rFonts w:hint="eastAsia" w:ascii="宋体" w:hAnsi="宋体" w:eastAsia="宋体" w:cs="宋体"/>
                <w:sz w:val="21"/>
                <w:szCs w:val="21"/>
              </w:rPr>
              <w:t>经济效益：促进经济发展。</w:t>
            </w:r>
          </w:p>
          <w:p>
            <w:pPr>
              <w:pStyle w:val="25"/>
              <w:spacing w:line="360" w:lineRule="auto"/>
              <w:ind w:firstLine="420"/>
              <w:jc w:val="both"/>
              <w:rPr>
                <w:rFonts w:ascii="宋体" w:hAnsi="宋体" w:eastAsia="宋体" w:cs="宋体"/>
                <w:sz w:val="21"/>
                <w:szCs w:val="21"/>
              </w:rPr>
            </w:pPr>
            <w:r>
              <w:rPr>
                <w:rFonts w:hint="eastAsia" w:ascii="宋体" w:hAnsi="宋体" w:eastAsia="宋体" w:cs="宋体"/>
                <w:sz w:val="21"/>
                <w:szCs w:val="21"/>
              </w:rPr>
              <w:t>生态效益：美化环境。</w:t>
            </w:r>
          </w:p>
          <w:p>
            <w:pPr>
              <w:pStyle w:val="25"/>
              <w:spacing w:line="360" w:lineRule="auto"/>
              <w:ind w:firstLine="420"/>
              <w:jc w:val="both"/>
              <w:rPr>
                <w:rFonts w:ascii="宋体" w:hAnsi="宋体" w:eastAsia="宋体" w:cs="宋体"/>
                <w:sz w:val="21"/>
                <w:szCs w:val="21"/>
              </w:rPr>
            </w:pPr>
            <w:r>
              <w:rPr>
                <w:rFonts w:hint="eastAsia" w:ascii="宋体" w:hAnsi="宋体" w:eastAsia="宋体" w:cs="宋体"/>
                <w:sz w:val="21"/>
                <w:szCs w:val="21"/>
              </w:rPr>
              <w:t>可持续影响：项目具有可持续利用性。</w:t>
            </w:r>
          </w:p>
          <w:p>
            <w:pPr>
              <w:pStyle w:val="25"/>
              <w:spacing w:line="360" w:lineRule="auto"/>
              <w:ind w:firstLine="420"/>
              <w:jc w:val="both"/>
              <w:rPr>
                <w:rFonts w:ascii="宋体" w:hAnsi="宋体" w:eastAsia="宋体" w:cs="宋体"/>
                <w:b/>
                <w:bCs/>
                <w:sz w:val="21"/>
                <w:szCs w:val="21"/>
              </w:rPr>
            </w:pPr>
            <w:r>
              <w:rPr>
                <w:rFonts w:hint="eastAsia" w:ascii="宋体" w:hAnsi="宋体" w:eastAsia="宋体" w:cs="宋体"/>
                <w:sz w:val="21"/>
                <w:szCs w:val="21"/>
              </w:rPr>
              <w:t>满意度：受益群众满意度≥96%。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520" w:type="dxa"/>
            <w:vAlign w:val="center"/>
          </w:tcPr>
          <w:p>
            <w:pPr>
              <w:pStyle w:val="25"/>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项目自评报告复核情况</w:t>
            </w:r>
          </w:p>
        </w:tc>
        <w:tc>
          <w:tcPr>
            <w:tcW w:w="7440" w:type="dxa"/>
            <w:gridSpan w:val="3"/>
            <w:vAlign w:val="center"/>
          </w:tcPr>
          <w:p>
            <w:pPr>
              <w:pStyle w:val="25"/>
              <w:spacing w:line="360" w:lineRule="auto"/>
              <w:ind w:firstLine="420"/>
              <w:jc w:val="left"/>
              <w:rPr>
                <w:rFonts w:ascii="宋体" w:hAnsi="宋体" w:eastAsia="宋体" w:cs="宋体"/>
                <w:sz w:val="21"/>
                <w:szCs w:val="21"/>
              </w:rPr>
            </w:pPr>
            <w:r>
              <w:rPr>
                <w:rFonts w:hint="eastAsia" w:ascii="宋体" w:hAnsi="宋体" w:eastAsia="宋体" w:cs="宋体"/>
                <w:sz w:val="21"/>
                <w:szCs w:val="21"/>
              </w:rPr>
              <w:t>项目实施单位能按照绩效管理的要求，绩效报告完整，绩效指标明确，但是未根据不同的目标任务设置相应的基准分值并进行打分，未编制年度工作自评报告。</w:t>
            </w:r>
          </w:p>
        </w:tc>
      </w:tr>
    </w:tbl>
    <w:p>
      <w:pPr>
        <w:ind w:firstLine="640"/>
        <w:jc w:val="both"/>
        <w:rPr>
          <w:rFonts w:eastAsia="仿宋_GB2312"/>
        </w:rPr>
      </w:pPr>
    </w:p>
    <w:sectPr>
      <w:pgSz w:w="11906" w:h="16838"/>
      <w:pgMar w:top="2041" w:right="1417" w:bottom="1417"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8306"/>
      </w:tabs>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8306"/>
      </w:tabs>
      <w:spacing w:line="280" w:lineRule="exact"/>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8306"/>
      </w:tabs>
      <w:spacing w:line="280" w:lineRule="exact"/>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8306"/>
      </w:tabs>
      <w:spacing w:line="280" w:lineRule="exact"/>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8306"/>
      </w:tabs>
      <w:spacing w:line="280" w:lineRule="exact"/>
      <w:ind w:firstLine="0" w:firstLineChars="0"/>
    </w:pPr>
    <w: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13"/>
                  <w:ind w:firstLine="360"/>
                </w:pPr>
                <w:r>
                  <w:fldChar w:fldCharType="begin"/>
                </w:r>
                <w:r>
                  <w:instrText xml:space="preserve"> PAGE  \* MERGEFORMAT </w:instrText>
                </w:r>
                <w:r>
                  <w:fldChar w:fldCharType="separate"/>
                </w:r>
                <w:r>
                  <w:t>55</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4056"/>
        <w:tab w:val="clear" w:pos="4153"/>
      </w:tabs>
      <w:ind w:firstLine="360"/>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p>
                <w:pPr>
                  <w:pStyle w:val="13"/>
                  <w:ind w:firstLine="360"/>
                </w:pPr>
                <w:r>
                  <w:fldChar w:fldCharType="begin"/>
                </w:r>
                <w:r>
                  <w:instrText xml:space="preserve"> PAGE  \* MERGEFORMAT </w:instrText>
                </w:r>
                <w:r>
                  <w:fldChar w:fldCharType="separate"/>
                </w:r>
                <w:r>
                  <w:t>70</w:t>
                </w:r>
                <w:r>
                  <w:fldChar w:fldCharType="end"/>
                </w:r>
              </w:p>
            </w:txbxContent>
          </v:textbox>
        </v:shape>
      </w:pic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spacing w:line="240" w:lineRule="auto"/>
      <w:ind w:firstLine="400"/>
      <w:jc w:val="right"/>
      <w:rPr>
        <w:rFonts w:ascii="仿宋" w:hAnsi="仿宋" w:cs="仿宋"/>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spacing w:line="240" w:lineRule="auto"/>
      <w:ind w:firstLine="420"/>
      <w:jc w:val="right"/>
      <w:rPr>
        <w:rFonts w:ascii="仿宋" w:hAnsi="仿宋" w:cs="仿宋"/>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F2CC1A"/>
    <w:multiLevelType w:val="singleLevel"/>
    <w:tmpl w:val="1FF2CC1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RlMTlkNDZjOWE2ODc1MDVlYjE3MjcyNjUyM2E3ZGIifQ=="/>
  </w:docVars>
  <w:rsids>
    <w:rsidRoot w:val="00172A27"/>
    <w:rsid w:val="00172A27"/>
    <w:rsid w:val="0031380D"/>
    <w:rsid w:val="00337586"/>
    <w:rsid w:val="003852A1"/>
    <w:rsid w:val="00392375"/>
    <w:rsid w:val="003F70E8"/>
    <w:rsid w:val="004A52EB"/>
    <w:rsid w:val="004D2CA3"/>
    <w:rsid w:val="005A5A9A"/>
    <w:rsid w:val="005D58DA"/>
    <w:rsid w:val="005F670F"/>
    <w:rsid w:val="006931B6"/>
    <w:rsid w:val="00731C21"/>
    <w:rsid w:val="00734949"/>
    <w:rsid w:val="00775FF7"/>
    <w:rsid w:val="008679EF"/>
    <w:rsid w:val="008B1170"/>
    <w:rsid w:val="00906786"/>
    <w:rsid w:val="00A23399"/>
    <w:rsid w:val="00A30367"/>
    <w:rsid w:val="00A516D5"/>
    <w:rsid w:val="00B9423C"/>
    <w:rsid w:val="00C0315B"/>
    <w:rsid w:val="00C81DEC"/>
    <w:rsid w:val="00E31598"/>
    <w:rsid w:val="00E60A9C"/>
    <w:rsid w:val="00E72793"/>
    <w:rsid w:val="00F0660A"/>
    <w:rsid w:val="00F47C4B"/>
    <w:rsid w:val="00F57A67"/>
    <w:rsid w:val="00FE1942"/>
    <w:rsid w:val="01395070"/>
    <w:rsid w:val="014F219D"/>
    <w:rsid w:val="0156177E"/>
    <w:rsid w:val="017D4F5C"/>
    <w:rsid w:val="019F10C6"/>
    <w:rsid w:val="01B4263C"/>
    <w:rsid w:val="01D60B10"/>
    <w:rsid w:val="01DF163C"/>
    <w:rsid w:val="01FB2325"/>
    <w:rsid w:val="01FD7E4B"/>
    <w:rsid w:val="02225B04"/>
    <w:rsid w:val="022655F4"/>
    <w:rsid w:val="022C24DE"/>
    <w:rsid w:val="025D4D8E"/>
    <w:rsid w:val="02B81FC4"/>
    <w:rsid w:val="02EA26E5"/>
    <w:rsid w:val="02EC6F9B"/>
    <w:rsid w:val="03124706"/>
    <w:rsid w:val="031B717D"/>
    <w:rsid w:val="03215DBB"/>
    <w:rsid w:val="03321D76"/>
    <w:rsid w:val="035241C7"/>
    <w:rsid w:val="03546191"/>
    <w:rsid w:val="035E4919"/>
    <w:rsid w:val="036068E4"/>
    <w:rsid w:val="03634A0A"/>
    <w:rsid w:val="036B2D89"/>
    <w:rsid w:val="036D2DAF"/>
    <w:rsid w:val="03716D43"/>
    <w:rsid w:val="03864238"/>
    <w:rsid w:val="03990047"/>
    <w:rsid w:val="03AE7E6E"/>
    <w:rsid w:val="03BB4BA1"/>
    <w:rsid w:val="03BD3D36"/>
    <w:rsid w:val="03BE185C"/>
    <w:rsid w:val="03FB485E"/>
    <w:rsid w:val="03FB660C"/>
    <w:rsid w:val="04137DFA"/>
    <w:rsid w:val="042F4508"/>
    <w:rsid w:val="044031CE"/>
    <w:rsid w:val="045071D0"/>
    <w:rsid w:val="04610B65"/>
    <w:rsid w:val="0465544F"/>
    <w:rsid w:val="046D0908"/>
    <w:rsid w:val="04785EAF"/>
    <w:rsid w:val="047C774D"/>
    <w:rsid w:val="04812986"/>
    <w:rsid w:val="04874344"/>
    <w:rsid w:val="04887A59"/>
    <w:rsid w:val="048D15A9"/>
    <w:rsid w:val="049D3B67"/>
    <w:rsid w:val="04A258FF"/>
    <w:rsid w:val="04B05B58"/>
    <w:rsid w:val="04E53A34"/>
    <w:rsid w:val="04EB48D3"/>
    <w:rsid w:val="04EF1B2B"/>
    <w:rsid w:val="04FD0162"/>
    <w:rsid w:val="0502000C"/>
    <w:rsid w:val="05177369"/>
    <w:rsid w:val="051C683A"/>
    <w:rsid w:val="053E5D3C"/>
    <w:rsid w:val="054A23D2"/>
    <w:rsid w:val="05542478"/>
    <w:rsid w:val="055E6E53"/>
    <w:rsid w:val="05847E4B"/>
    <w:rsid w:val="05855D76"/>
    <w:rsid w:val="05946D18"/>
    <w:rsid w:val="05AF24BD"/>
    <w:rsid w:val="05BC001D"/>
    <w:rsid w:val="05C03E5D"/>
    <w:rsid w:val="05CE6189"/>
    <w:rsid w:val="05D37841"/>
    <w:rsid w:val="06247F36"/>
    <w:rsid w:val="06253E14"/>
    <w:rsid w:val="06293905"/>
    <w:rsid w:val="063D35BF"/>
    <w:rsid w:val="06447A24"/>
    <w:rsid w:val="064F2C3F"/>
    <w:rsid w:val="06534575"/>
    <w:rsid w:val="065C25C4"/>
    <w:rsid w:val="06677F89"/>
    <w:rsid w:val="06823015"/>
    <w:rsid w:val="06B371CB"/>
    <w:rsid w:val="06BE5B5E"/>
    <w:rsid w:val="070103DE"/>
    <w:rsid w:val="07372051"/>
    <w:rsid w:val="073A38EF"/>
    <w:rsid w:val="07453E5D"/>
    <w:rsid w:val="074B3407"/>
    <w:rsid w:val="075E3F72"/>
    <w:rsid w:val="077B30B0"/>
    <w:rsid w:val="079254DA"/>
    <w:rsid w:val="07A019A5"/>
    <w:rsid w:val="07AD40C1"/>
    <w:rsid w:val="07CC09EB"/>
    <w:rsid w:val="07DB478B"/>
    <w:rsid w:val="07E51683"/>
    <w:rsid w:val="07FD3D9D"/>
    <w:rsid w:val="0817778D"/>
    <w:rsid w:val="082952D0"/>
    <w:rsid w:val="08316AA1"/>
    <w:rsid w:val="083B347B"/>
    <w:rsid w:val="08607386"/>
    <w:rsid w:val="089D3628"/>
    <w:rsid w:val="08A059D4"/>
    <w:rsid w:val="08D31906"/>
    <w:rsid w:val="09116408"/>
    <w:rsid w:val="091F0FEF"/>
    <w:rsid w:val="092653C6"/>
    <w:rsid w:val="09300B06"/>
    <w:rsid w:val="09331C18"/>
    <w:rsid w:val="09632937"/>
    <w:rsid w:val="097529BD"/>
    <w:rsid w:val="097D0756"/>
    <w:rsid w:val="0992531D"/>
    <w:rsid w:val="09B41737"/>
    <w:rsid w:val="09BD7D8F"/>
    <w:rsid w:val="09CD45A7"/>
    <w:rsid w:val="09D53957"/>
    <w:rsid w:val="09F14739"/>
    <w:rsid w:val="0A014251"/>
    <w:rsid w:val="0A134713"/>
    <w:rsid w:val="0A140428"/>
    <w:rsid w:val="0A2465B0"/>
    <w:rsid w:val="0A362E60"/>
    <w:rsid w:val="0A382368"/>
    <w:rsid w:val="0A595195"/>
    <w:rsid w:val="0A634E47"/>
    <w:rsid w:val="0A7315F2"/>
    <w:rsid w:val="0A7851FA"/>
    <w:rsid w:val="0A7D5FCD"/>
    <w:rsid w:val="0A876E4C"/>
    <w:rsid w:val="0AAB54D0"/>
    <w:rsid w:val="0AE61202"/>
    <w:rsid w:val="0AFF2C5A"/>
    <w:rsid w:val="0B6C2561"/>
    <w:rsid w:val="0B8D2240"/>
    <w:rsid w:val="0B9B1F3C"/>
    <w:rsid w:val="0BBC2B25"/>
    <w:rsid w:val="0BDE5BE7"/>
    <w:rsid w:val="0BFB6C8E"/>
    <w:rsid w:val="0C012C2E"/>
    <w:rsid w:val="0C044057"/>
    <w:rsid w:val="0C085D6A"/>
    <w:rsid w:val="0C322DE7"/>
    <w:rsid w:val="0C4F39F3"/>
    <w:rsid w:val="0C8430C7"/>
    <w:rsid w:val="0C983D2E"/>
    <w:rsid w:val="0CD30126"/>
    <w:rsid w:val="0CF14A50"/>
    <w:rsid w:val="0D34161D"/>
    <w:rsid w:val="0D3606B5"/>
    <w:rsid w:val="0D5E6B89"/>
    <w:rsid w:val="0D5E7B25"/>
    <w:rsid w:val="0D632593"/>
    <w:rsid w:val="0D6C2329"/>
    <w:rsid w:val="0D703DC8"/>
    <w:rsid w:val="0D7F3B1A"/>
    <w:rsid w:val="0D9773A6"/>
    <w:rsid w:val="0DD140A1"/>
    <w:rsid w:val="0DD37CBE"/>
    <w:rsid w:val="0E0013EF"/>
    <w:rsid w:val="0E100F06"/>
    <w:rsid w:val="0E2315D2"/>
    <w:rsid w:val="0E584012"/>
    <w:rsid w:val="0E793BE5"/>
    <w:rsid w:val="0E7B6CC7"/>
    <w:rsid w:val="0E96765D"/>
    <w:rsid w:val="0E9C09EC"/>
    <w:rsid w:val="0EA77ABC"/>
    <w:rsid w:val="0EC51CF1"/>
    <w:rsid w:val="0F0A004B"/>
    <w:rsid w:val="0F304DD1"/>
    <w:rsid w:val="0F340C24"/>
    <w:rsid w:val="0F5B1F34"/>
    <w:rsid w:val="0F724623"/>
    <w:rsid w:val="0F803E6A"/>
    <w:rsid w:val="0FB51D65"/>
    <w:rsid w:val="0FC81E9D"/>
    <w:rsid w:val="0FC87ACC"/>
    <w:rsid w:val="0FDF3286"/>
    <w:rsid w:val="0FE346F0"/>
    <w:rsid w:val="0FF23AAC"/>
    <w:rsid w:val="0FF34311"/>
    <w:rsid w:val="0FF56606"/>
    <w:rsid w:val="0FFE370C"/>
    <w:rsid w:val="100E6ED1"/>
    <w:rsid w:val="10346CB9"/>
    <w:rsid w:val="10670626"/>
    <w:rsid w:val="109B4A1A"/>
    <w:rsid w:val="111E393A"/>
    <w:rsid w:val="113D0264"/>
    <w:rsid w:val="11427629"/>
    <w:rsid w:val="1144477E"/>
    <w:rsid w:val="114811AA"/>
    <w:rsid w:val="115D26B4"/>
    <w:rsid w:val="1161562B"/>
    <w:rsid w:val="11631E9D"/>
    <w:rsid w:val="117F087D"/>
    <w:rsid w:val="11847F58"/>
    <w:rsid w:val="118A0FD0"/>
    <w:rsid w:val="119454C6"/>
    <w:rsid w:val="11B5429E"/>
    <w:rsid w:val="11D852D4"/>
    <w:rsid w:val="11E3705D"/>
    <w:rsid w:val="11F4081A"/>
    <w:rsid w:val="120B2110"/>
    <w:rsid w:val="122431D2"/>
    <w:rsid w:val="122E5DFF"/>
    <w:rsid w:val="124014EC"/>
    <w:rsid w:val="12521AED"/>
    <w:rsid w:val="126B2BAF"/>
    <w:rsid w:val="12851EC3"/>
    <w:rsid w:val="128920BE"/>
    <w:rsid w:val="128A6C4D"/>
    <w:rsid w:val="129C7A7D"/>
    <w:rsid w:val="12B97DBE"/>
    <w:rsid w:val="12BB3B36"/>
    <w:rsid w:val="12D06EB6"/>
    <w:rsid w:val="12D91A51"/>
    <w:rsid w:val="12DC3AAD"/>
    <w:rsid w:val="133E0070"/>
    <w:rsid w:val="133E2072"/>
    <w:rsid w:val="13453400"/>
    <w:rsid w:val="13781A27"/>
    <w:rsid w:val="137B511B"/>
    <w:rsid w:val="1386545F"/>
    <w:rsid w:val="139525D9"/>
    <w:rsid w:val="13983E78"/>
    <w:rsid w:val="13AC347F"/>
    <w:rsid w:val="13DC1FB6"/>
    <w:rsid w:val="13E85ADA"/>
    <w:rsid w:val="140B464A"/>
    <w:rsid w:val="14114026"/>
    <w:rsid w:val="144501AE"/>
    <w:rsid w:val="145C30F7"/>
    <w:rsid w:val="14643AAB"/>
    <w:rsid w:val="14776200"/>
    <w:rsid w:val="14997EA7"/>
    <w:rsid w:val="14BA2DDD"/>
    <w:rsid w:val="14D12EE0"/>
    <w:rsid w:val="153876C0"/>
    <w:rsid w:val="154D47EE"/>
    <w:rsid w:val="156412E2"/>
    <w:rsid w:val="15677B2C"/>
    <w:rsid w:val="15695ACC"/>
    <w:rsid w:val="159D5775"/>
    <w:rsid w:val="15AA2494"/>
    <w:rsid w:val="15B11500"/>
    <w:rsid w:val="15BF393E"/>
    <w:rsid w:val="15ED3031"/>
    <w:rsid w:val="15F35395"/>
    <w:rsid w:val="160E077B"/>
    <w:rsid w:val="1614211F"/>
    <w:rsid w:val="163F05DA"/>
    <w:rsid w:val="164C178A"/>
    <w:rsid w:val="165B7526"/>
    <w:rsid w:val="167D62DE"/>
    <w:rsid w:val="16857E4E"/>
    <w:rsid w:val="16BE1E47"/>
    <w:rsid w:val="16C805D0"/>
    <w:rsid w:val="16CD208A"/>
    <w:rsid w:val="16D50F3F"/>
    <w:rsid w:val="170D23C9"/>
    <w:rsid w:val="17263548"/>
    <w:rsid w:val="17460E60"/>
    <w:rsid w:val="174D0796"/>
    <w:rsid w:val="1767664C"/>
    <w:rsid w:val="176B22A6"/>
    <w:rsid w:val="178A611C"/>
    <w:rsid w:val="17936E30"/>
    <w:rsid w:val="180D58CF"/>
    <w:rsid w:val="181810E3"/>
    <w:rsid w:val="182E01A4"/>
    <w:rsid w:val="185C23C1"/>
    <w:rsid w:val="18716A45"/>
    <w:rsid w:val="18A24E51"/>
    <w:rsid w:val="18D07C10"/>
    <w:rsid w:val="18EE62E8"/>
    <w:rsid w:val="18F25DD8"/>
    <w:rsid w:val="192608CA"/>
    <w:rsid w:val="192B4AE5"/>
    <w:rsid w:val="194D74B2"/>
    <w:rsid w:val="195615DA"/>
    <w:rsid w:val="195919B3"/>
    <w:rsid w:val="196A0064"/>
    <w:rsid w:val="196D4AD8"/>
    <w:rsid w:val="197D7D98"/>
    <w:rsid w:val="198509FA"/>
    <w:rsid w:val="198A7DBF"/>
    <w:rsid w:val="19A370D2"/>
    <w:rsid w:val="19AE4118"/>
    <w:rsid w:val="19B24F83"/>
    <w:rsid w:val="19B7492C"/>
    <w:rsid w:val="19C06268"/>
    <w:rsid w:val="19EC6BDF"/>
    <w:rsid w:val="19F17E3E"/>
    <w:rsid w:val="19F416DC"/>
    <w:rsid w:val="1A147FD0"/>
    <w:rsid w:val="1A163D48"/>
    <w:rsid w:val="1A3D3CA6"/>
    <w:rsid w:val="1A493316"/>
    <w:rsid w:val="1AA72BF2"/>
    <w:rsid w:val="1AF000F5"/>
    <w:rsid w:val="1AFA0F74"/>
    <w:rsid w:val="1B2D759B"/>
    <w:rsid w:val="1B332C30"/>
    <w:rsid w:val="1B3A3A66"/>
    <w:rsid w:val="1B430B6D"/>
    <w:rsid w:val="1B495729"/>
    <w:rsid w:val="1B4C0BF0"/>
    <w:rsid w:val="1B520DB0"/>
    <w:rsid w:val="1B81648A"/>
    <w:rsid w:val="1B866CAC"/>
    <w:rsid w:val="1B903686"/>
    <w:rsid w:val="1B9A4616"/>
    <w:rsid w:val="1BA15893"/>
    <w:rsid w:val="1BB84B90"/>
    <w:rsid w:val="1BCE2298"/>
    <w:rsid w:val="1BDB2B53"/>
    <w:rsid w:val="1BE55780"/>
    <w:rsid w:val="1BF956CF"/>
    <w:rsid w:val="1C1442B7"/>
    <w:rsid w:val="1C1C1041"/>
    <w:rsid w:val="1C2706D6"/>
    <w:rsid w:val="1C281B11"/>
    <w:rsid w:val="1C4A448D"/>
    <w:rsid w:val="1CD71E86"/>
    <w:rsid w:val="1CF57C45"/>
    <w:rsid w:val="1CFA2C37"/>
    <w:rsid w:val="1D0B7468"/>
    <w:rsid w:val="1D13456F"/>
    <w:rsid w:val="1D187DD7"/>
    <w:rsid w:val="1D1F2F14"/>
    <w:rsid w:val="1D484219"/>
    <w:rsid w:val="1D570900"/>
    <w:rsid w:val="1D725191"/>
    <w:rsid w:val="1D9A49A4"/>
    <w:rsid w:val="1D9E02DC"/>
    <w:rsid w:val="1DA13929"/>
    <w:rsid w:val="1DAA4ED3"/>
    <w:rsid w:val="1DAA6C81"/>
    <w:rsid w:val="1DBB305F"/>
    <w:rsid w:val="1DCF0496"/>
    <w:rsid w:val="1DD65CC8"/>
    <w:rsid w:val="1E002D45"/>
    <w:rsid w:val="1E0D5462"/>
    <w:rsid w:val="1E112EFE"/>
    <w:rsid w:val="1E3004A8"/>
    <w:rsid w:val="1E3767ED"/>
    <w:rsid w:val="1E42335E"/>
    <w:rsid w:val="1E9811D0"/>
    <w:rsid w:val="1EBA2704"/>
    <w:rsid w:val="1EE47F71"/>
    <w:rsid w:val="1EEC5078"/>
    <w:rsid w:val="1F176598"/>
    <w:rsid w:val="1F1F71FB"/>
    <w:rsid w:val="1F2B3DF2"/>
    <w:rsid w:val="1F374545"/>
    <w:rsid w:val="1F51312D"/>
    <w:rsid w:val="1F6F3B98"/>
    <w:rsid w:val="1FAD2A59"/>
    <w:rsid w:val="1FB47A5D"/>
    <w:rsid w:val="1FB738D7"/>
    <w:rsid w:val="1FC102B2"/>
    <w:rsid w:val="1FC859DB"/>
    <w:rsid w:val="1FDB28F8"/>
    <w:rsid w:val="1FF561AE"/>
    <w:rsid w:val="1FF70B16"/>
    <w:rsid w:val="20230F6D"/>
    <w:rsid w:val="20250841"/>
    <w:rsid w:val="20296C97"/>
    <w:rsid w:val="202D3B9A"/>
    <w:rsid w:val="2031368A"/>
    <w:rsid w:val="20315438"/>
    <w:rsid w:val="204F1D62"/>
    <w:rsid w:val="20515ADA"/>
    <w:rsid w:val="20566C4C"/>
    <w:rsid w:val="207A2E7F"/>
    <w:rsid w:val="207E2A34"/>
    <w:rsid w:val="20915784"/>
    <w:rsid w:val="209B0B03"/>
    <w:rsid w:val="20B64603"/>
    <w:rsid w:val="20E157D1"/>
    <w:rsid w:val="20EA3918"/>
    <w:rsid w:val="20F72035"/>
    <w:rsid w:val="20FA3A7C"/>
    <w:rsid w:val="210448FA"/>
    <w:rsid w:val="21050673"/>
    <w:rsid w:val="21187D71"/>
    <w:rsid w:val="21260D15"/>
    <w:rsid w:val="213B4094"/>
    <w:rsid w:val="21555156"/>
    <w:rsid w:val="217D645B"/>
    <w:rsid w:val="219A0DBB"/>
    <w:rsid w:val="219D52D9"/>
    <w:rsid w:val="21A47E8B"/>
    <w:rsid w:val="21CC5420"/>
    <w:rsid w:val="21CE3EC8"/>
    <w:rsid w:val="21E25294"/>
    <w:rsid w:val="22001566"/>
    <w:rsid w:val="220C11EC"/>
    <w:rsid w:val="2217240B"/>
    <w:rsid w:val="222A69A9"/>
    <w:rsid w:val="22302A9B"/>
    <w:rsid w:val="22592A24"/>
    <w:rsid w:val="22677281"/>
    <w:rsid w:val="22904FAB"/>
    <w:rsid w:val="22A85759"/>
    <w:rsid w:val="22CF641B"/>
    <w:rsid w:val="22D22596"/>
    <w:rsid w:val="22E740DB"/>
    <w:rsid w:val="22E744D4"/>
    <w:rsid w:val="22F8223D"/>
    <w:rsid w:val="231002A6"/>
    <w:rsid w:val="235F0310"/>
    <w:rsid w:val="237E51C7"/>
    <w:rsid w:val="238D5C75"/>
    <w:rsid w:val="23B26890"/>
    <w:rsid w:val="23B57EEF"/>
    <w:rsid w:val="23B95E70"/>
    <w:rsid w:val="23C93BD9"/>
    <w:rsid w:val="23DA76BE"/>
    <w:rsid w:val="23E9602A"/>
    <w:rsid w:val="24015121"/>
    <w:rsid w:val="24147361"/>
    <w:rsid w:val="24280900"/>
    <w:rsid w:val="243B4AD7"/>
    <w:rsid w:val="24613E12"/>
    <w:rsid w:val="248D2E59"/>
    <w:rsid w:val="24BB5077"/>
    <w:rsid w:val="24C70119"/>
    <w:rsid w:val="24D10F97"/>
    <w:rsid w:val="24EE7D9B"/>
    <w:rsid w:val="250745B5"/>
    <w:rsid w:val="25145328"/>
    <w:rsid w:val="25201F1F"/>
    <w:rsid w:val="25401C79"/>
    <w:rsid w:val="254F010E"/>
    <w:rsid w:val="25902C01"/>
    <w:rsid w:val="25981AB5"/>
    <w:rsid w:val="25C91C6F"/>
    <w:rsid w:val="25DA3E7C"/>
    <w:rsid w:val="25F22588"/>
    <w:rsid w:val="25F50CB6"/>
    <w:rsid w:val="25F74A2E"/>
    <w:rsid w:val="26064C71"/>
    <w:rsid w:val="261E2712"/>
    <w:rsid w:val="262477ED"/>
    <w:rsid w:val="264F4111"/>
    <w:rsid w:val="265D1F8F"/>
    <w:rsid w:val="266616E3"/>
    <w:rsid w:val="266C6C7A"/>
    <w:rsid w:val="267E514F"/>
    <w:rsid w:val="269F0C21"/>
    <w:rsid w:val="26B0711D"/>
    <w:rsid w:val="26F40F6D"/>
    <w:rsid w:val="27054F28"/>
    <w:rsid w:val="270868BA"/>
    <w:rsid w:val="273B08B5"/>
    <w:rsid w:val="275E4FCD"/>
    <w:rsid w:val="276864B9"/>
    <w:rsid w:val="278A2C04"/>
    <w:rsid w:val="279462AC"/>
    <w:rsid w:val="279B3ADF"/>
    <w:rsid w:val="27A878D8"/>
    <w:rsid w:val="27AB4FB8"/>
    <w:rsid w:val="27F12013"/>
    <w:rsid w:val="28213FE4"/>
    <w:rsid w:val="28440EEB"/>
    <w:rsid w:val="28547A3C"/>
    <w:rsid w:val="286A25C7"/>
    <w:rsid w:val="286C4045"/>
    <w:rsid w:val="28C17575"/>
    <w:rsid w:val="2920604A"/>
    <w:rsid w:val="29211DC2"/>
    <w:rsid w:val="2927562A"/>
    <w:rsid w:val="292875F4"/>
    <w:rsid w:val="2940049A"/>
    <w:rsid w:val="294A2392"/>
    <w:rsid w:val="296A19BB"/>
    <w:rsid w:val="296F009D"/>
    <w:rsid w:val="29712D49"/>
    <w:rsid w:val="297C06B2"/>
    <w:rsid w:val="298E38FB"/>
    <w:rsid w:val="29A27C4C"/>
    <w:rsid w:val="29B844D4"/>
    <w:rsid w:val="29C27CA8"/>
    <w:rsid w:val="29CF75DD"/>
    <w:rsid w:val="29D41C18"/>
    <w:rsid w:val="29F55728"/>
    <w:rsid w:val="29F85FD4"/>
    <w:rsid w:val="29FE65D7"/>
    <w:rsid w:val="2A2C20C7"/>
    <w:rsid w:val="2A43742F"/>
    <w:rsid w:val="2A510485"/>
    <w:rsid w:val="2A77613D"/>
    <w:rsid w:val="2A7A2C18"/>
    <w:rsid w:val="2AAA732E"/>
    <w:rsid w:val="2AB729DE"/>
    <w:rsid w:val="2ACC4513"/>
    <w:rsid w:val="2ACF41CB"/>
    <w:rsid w:val="2AD57308"/>
    <w:rsid w:val="2AD74E2E"/>
    <w:rsid w:val="2AF14141"/>
    <w:rsid w:val="2B0025D7"/>
    <w:rsid w:val="2B157704"/>
    <w:rsid w:val="2B1C7ECC"/>
    <w:rsid w:val="2B315C1F"/>
    <w:rsid w:val="2B4324C3"/>
    <w:rsid w:val="2B4A5600"/>
    <w:rsid w:val="2B5E554F"/>
    <w:rsid w:val="2B653929"/>
    <w:rsid w:val="2B6E22E4"/>
    <w:rsid w:val="2B962447"/>
    <w:rsid w:val="2BA92270"/>
    <w:rsid w:val="2BB80850"/>
    <w:rsid w:val="2BEB6DE3"/>
    <w:rsid w:val="2C13666A"/>
    <w:rsid w:val="2C42417F"/>
    <w:rsid w:val="2C4C3BE1"/>
    <w:rsid w:val="2C657A81"/>
    <w:rsid w:val="2C772424"/>
    <w:rsid w:val="2C7D37B3"/>
    <w:rsid w:val="2C825DDD"/>
    <w:rsid w:val="2C8C39F6"/>
    <w:rsid w:val="2C956D4E"/>
    <w:rsid w:val="2CB1716D"/>
    <w:rsid w:val="2CB371D5"/>
    <w:rsid w:val="2CC45853"/>
    <w:rsid w:val="2CD45AC9"/>
    <w:rsid w:val="2CE02506"/>
    <w:rsid w:val="2CE2075A"/>
    <w:rsid w:val="2D0143E4"/>
    <w:rsid w:val="2D081307"/>
    <w:rsid w:val="2D164240"/>
    <w:rsid w:val="2D2F71A3"/>
    <w:rsid w:val="2D34043B"/>
    <w:rsid w:val="2D384B64"/>
    <w:rsid w:val="2D573CE0"/>
    <w:rsid w:val="2D5E35E4"/>
    <w:rsid w:val="2D617B78"/>
    <w:rsid w:val="2D850B71"/>
    <w:rsid w:val="2DB25583"/>
    <w:rsid w:val="2E291E44"/>
    <w:rsid w:val="2E293BF2"/>
    <w:rsid w:val="2E2A43FD"/>
    <w:rsid w:val="2E3329E3"/>
    <w:rsid w:val="2E3B56D4"/>
    <w:rsid w:val="2E4E3659"/>
    <w:rsid w:val="2E536BF6"/>
    <w:rsid w:val="2E6E7857"/>
    <w:rsid w:val="2E9A70F7"/>
    <w:rsid w:val="2EA41679"/>
    <w:rsid w:val="2EAB0AAB"/>
    <w:rsid w:val="2EB711FE"/>
    <w:rsid w:val="2EED4C20"/>
    <w:rsid w:val="2EF44200"/>
    <w:rsid w:val="2F1A79DF"/>
    <w:rsid w:val="2F324D29"/>
    <w:rsid w:val="2F364819"/>
    <w:rsid w:val="2F3960B7"/>
    <w:rsid w:val="2F792957"/>
    <w:rsid w:val="2F91326E"/>
    <w:rsid w:val="2F9217E7"/>
    <w:rsid w:val="2F967065"/>
    <w:rsid w:val="2FA72416"/>
    <w:rsid w:val="2FB219C5"/>
    <w:rsid w:val="2FCC0CD9"/>
    <w:rsid w:val="2FCD0BE2"/>
    <w:rsid w:val="2FCE4236"/>
    <w:rsid w:val="2FD94FD4"/>
    <w:rsid w:val="2FED0C50"/>
    <w:rsid w:val="30052877"/>
    <w:rsid w:val="300F4E9A"/>
    <w:rsid w:val="30202DD3"/>
    <w:rsid w:val="30281C88"/>
    <w:rsid w:val="306453B6"/>
    <w:rsid w:val="306C7DC6"/>
    <w:rsid w:val="308E5F8F"/>
    <w:rsid w:val="30B820FF"/>
    <w:rsid w:val="30BA6D84"/>
    <w:rsid w:val="30C34E40"/>
    <w:rsid w:val="30CC7E97"/>
    <w:rsid w:val="30EA0028"/>
    <w:rsid w:val="30F80315"/>
    <w:rsid w:val="31172428"/>
    <w:rsid w:val="312D14D0"/>
    <w:rsid w:val="314F3970"/>
    <w:rsid w:val="3155387B"/>
    <w:rsid w:val="316D33DC"/>
    <w:rsid w:val="317867ED"/>
    <w:rsid w:val="31825219"/>
    <w:rsid w:val="318A23EE"/>
    <w:rsid w:val="319677F1"/>
    <w:rsid w:val="31A31F0E"/>
    <w:rsid w:val="31AD0696"/>
    <w:rsid w:val="31D1187C"/>
    <w:rsid w:val="31F33F08"/>
    <w:rsid w:val="31F84007"/>
    <w:rsid w:val="3200110E"/>
    <w:rsid w:val="32096215"/>
    <w:rsid w:val="32582CF8"/>
    <w:rsid w:val="327F64D7"/>
    <w:rsid w:val="327F7943"/>
    <w:rsid w:val="32A2681A"/>
    <w:rsid w:val="32C30E04"/>
    <w:rsid w:val="32C75788"/>
    <w:rsid w:val="32E30A75"/>
    <w:rsid w:val="331A61FF"/>
    <w:rsid w:val="333D5139"/>
    <w:rsid w:val="333F5C66"/>
    <w:rsid w:val="3344327C"/>
    <w:rsid w:val="3344502A"/>
    <w:rsid w:val="33611D58"/>
    <w:rsid w:val="33945ECE"/>
    <w:rsid w:val="33B44B5F"/>
    <w:rsid w:val="33B71CA0"/>
    <w:rsid w:val="33CB74FA"/>
    <w:rsid w:val="33CC3ED1"/>
    <w:rsid w:val="34125F30"/>
    <w:rsid w:val="342033A2"/>
    <w:rsid w:val="34264730"/>
    <w:rsid w:val="3428199C"/>
    <w:rsid w:val="34313801"/>
    <w:rsid w:val="34344245"/>
    <w:rsid w:val="3458254E"/>
    <w:rsid w:val="345A2F9C"/>
    <w:rsid w:val="346A6D13"/>
    <w:rsid w:val="346C65E7"/>
    <w:rsid w:val="34735BC7"/>
    <w:rsid w:val="3478459E"/>
    <w:rsid w:val="34B620FB"/>
    <w:rsid w:val="34C330CC"/>
    <w:rsid w:val="34CE1050"/>
    <w:rsid w:val="34D80120"/>
    <w:rsid w:val="34D81ECE"/>
    <w:rsid w:val="34F211E2"/>
    <w:rsid w:val="34F2265F"/>
    <w:rsid w:val="34F32864"/>
    <w:rsid w:val="352262AE"/>
    <w:rsid w:val="352442AE"/>
    <w:rsid w:val="3529097C"/>
    <w:rsid w:val="3548663A"/>
    <w:rsid w:val="35675000"/>
    <w:rsid w:val="356D0868"/>
    <w:rsid w:val="357D4824"/>
    <w:rsid w:val="35B20971"/>
    <w:rsid w:val="35B52535"/>
    <w:rsid w:val="35C661CB"/>
    <w:rsid w:val="36032F7B"/>
    <w:rsid w:val="36146F36"/>
    <w:rsid w:val="361C02EB"/>
    <w:rsid w:val="363232DB"/>
    <w:rsid w:val="36421CF5"/>
    <w:rsid w:val="367D028F"/>
    <w:rsid w:val="369462C9"/>
    <w:rsid w:val="369B1405"/>
    <w:rsid w:val="36BF4EFC"/>
    <w:rsid w:val="36FC7DB7"/>
    <w:rsid w:val="37135989"/>
    <w:rsid w:val="371F56EE"/>
    <w:rsid w:val="373553B6"/>
    <w:rsid w:val="373D331B"/>
    <w:rsid w:val="375A7A49"/>
    <w:rsid w:val="375F68D7"/>
    <w:rsid w:val="37667C65"/>
    <w:rsid w:val="376C68FE"/>
    <w:rsid w:val="3776777C"/>
    <w:rsid w:val="378325C5"/>
    <w:rsid w:val="37873738"/>
    <w:rsid w:val="378B3228"/>
    <w:rsid w:val="378B42E9"/>
    <w:rsid w:val="37906A90"/>
    <w:rsid w:val="37A22DEC"/>
    <w:rsid w:val="37A8202C"/>
    <w:rsid w:val="37F16F16"/>
    <w:rsid w:val="37F7266B"/>
    <w:rsid w:val="380354B4"/>
    <w:rsid w:val="38647007"/>
    <w:rsid w:val="387C7014"/>
    <w:rsid w:val="388D3CBA"/>
    <w:rsid w:val="389B393F"/>
    <w:rsid w:val="38C74734"/>
    <w:rsid w:val="38EF3C8A"/>
    <w:rsid w:val="390019F4"/>
    <w:rsid w:val="394C584E"/>
    <w:rsid w:val="394F2FEC"/>
    <w:rsid w:val="39565AB7"/>
    <w:rsid w:val="39812B34"/>
    <w:rsid w:val="39941F91"/>
    <w:rsid w:val="399F6070"/>
    <w:rsid w:val="39A9208B"/>
    <w:rsid w:val="39AE1450"/>
    <w:rsid w:val="39C173D5"/>
    <w:rsid w:val="39E76710"/>
    <w:rsid w:val="3A1448B7"/>
    <w:rsid w:val="3A175247"/>
    <w:rsid w:val="3A1A6AE5"/>
    <w:rsid w:val="3A1E0383"/>
    <w:rsid w:val="3A3758E9"/>
    <w:rsid w:val="3A39340F"/>
    <w:rsid w:val="3A834553"/>
    <w:rsid w:val="3A8476E7"/>
    <w:rsid w:val="3A971EE4"/>
    <w:rsid w:val="3AA17726"/>
    <w:rsid w:val="3AB6680E"/>
    <w:rsid w:val="3ABD5DEE"/>
    <w:rsid w:val="3AE96BE3"/>
    <w:rsid w:val="3AEF7F72"/>
    <w:rsid w:val="3B027CA5"/>
    <w:rsid w:val="3B03474F"/>
    <w:rsid w:val="3B0357CB"/>
    <w:rsid w:val="3B07522B"/>
    <w:rsid w:val="3B132F54"/>
    <w:rsid w:val="3B181276"/>
    <w:rsid w:val="3B2E2848"/>
    <w:rsid w:val="3B3C1A57"/>
    <w:rsid w:val="3B451940"/>
    <w:rsid w:val="3B563B4D"/>
    <w:rsid w:val="3B596336"/>
    <w:rsid w:val="3B732951"/>
    <w:rsid w:val="3BC779A0"/>
    <w:rsid w:val="3BD37A27"/>
    <w:rsid w:val="3BDA29A7"/>
    <w:rsid w:val="3BE178BA"/>
    <w:rsid w:val="3C1F59E4"/>
    <w:rsid w:val="3C2415B4"/>
    <w:rsid w:val="3C28373B"/>
    <w:rsid w:val="3C2854E9"/>
    <w:rsid w:val="3C29300F"/>
    <w:rsid w:val="3C5938F5"/>
    <w:rsid w:val="3C5C31AC"/>
    <w:rsid w:val="3C5F6A31"/>
    <w:rsid w:val="3C8B5A78"/>
    <w:rsid w:val="3C9F32D2"/>
    <w:rsid w:val="3CA01523"/>
    <w:rsid w:val="3CAD1E92"/>
    <w:rsid w:val="3CC66AB0"/>
    <w:rsid w:val="3CF74EBC"/>
    <w:rsid w:val="3D0D46DF"/>
    <w:rsid w:val="3D2001CA"/>
    <w:rsid w:val="3D314871"/>
    <w:rsid w:val="3D8E5820"/>
    <w:rsid w:val="3D986ADB"/>
    <w:rsid w:val="3D9B1CEB"/>
    <w:rsid w:val="3DBA03C3"/>
    <w:rsid w:val="3DBB72B6"/>
    <w:rsid w:val="3DBF00CF"/>
    <w:rsid w:val="3DC15BF5"/>
    <w:rsid w:val="3DC94AAA"/>
    <w:rsid w:val="3DC96858"/>
    <w:rsid w:val="3DF338D5"/>
    <w:rsid w:val="3E056918"/>
    <w:rsid w:val="3E147B6E"/>
    <w:rsid w:val="3E37007B"/>
    <w:rsid w:val="3E482619"/>
    <w:rsid w:val="3E493DC2"/>
    <w:rsid w:val="3E58110A"/>
    <w:rsid w:val="3E693B97"/>
    <w:rsid w:val="3E7A6309"/>
    <w:rsid w:val="3E9B3F11"/>
    <w:rsid w:val="3EA6303D"/>
    <w:rsid w:val="3EB63280"/>
    <w:rsid w:val="3EC62D97"/>
    <w:rsid w:val="3EC6723B"/>
    <w:rsid w:val="3ED100BA"/>
    <w:rsid w:val="3EEB27BB"/>
    <w:rsid w:val="3F0C76CC"/>
    <w:rsid w:val="3F0D3481"/>
    <w:rsid w:val="3F3E2357"/>
    <w:rsid w:val="3F3F2F83"/>
    <w:rsid w:val="3F3F40D9"/>
    <w:rsid w:val="3F505550"/>
    <w:rsid w:val="3F586738"/>
    <w:rsid w:val="3F593C0C"/>
    <w:rsid w:val="3F7153F9"/>
    <w:rsid w:val="3F9410E8"/>
    <w:rsid w:val="3F9619C6"/>
    <w:rsid w:val="3F984951"/>
    <w:rsid w:val="3F9B06C8"/>
    <w:rsid w:val="3FBB48C6"/>
    <w:rsid w:val="3FDD7A0A"/>
    <w:rsid w:val="403B1563"/>
    <w:rsid w:val="40532D51"/>
    <w:rsid w:val="4070745F"/>
    <w:rsid w:val="4079618D"/>
    <w:rsid w:val="409F5F96"/>
    <w:rsid w:val="40CD48B1"/>
    <w:rsid w:val="40CD665F"/>
    <w:rsid w:val="40D86290"/>
    <w:rsid w:val="40F24318"/>
    <w:rsid w:val="41092CB7"/>
    <w:rsid w:val="412E1809"/>
    <w:rsid w:val="41395881"/>
    <w:rsid w:val="417C312B"/>
    <w:rsid w:val="41967399"/>
    <w:rsid w:val="41B4781F"/>
    <w:rsid w:val="41B733B4"/>
    <w:rsid w:val="41CF6407"/>
    <w:rsid w:val="41DF2AEE"/>
    <w:rsid w:val="41F30C36"/>
    <w:rsid w:val="41FC6EEE"/>
    <w:rsid w:val="423A7D24"/>
    <w:rsid w:val="424D07AF"/>
    <w:rsid w:val="42534BD6"/>
    <w:rsid w:val="42552DB0"/>
    <w:rsid w:val="426879E7"/>
    <w:rsid w:val="426E3E72"/>
    <w:rsid w:val="429F402B"/>
    <w:rsid w:val="42A116B8"/>
    <w:rsid w:val="42B455FB"/>
    <w:rsid w:val="42BC13F6"/>
    <w:rsid w:val="42BD2703"/>
    <w:rsid w:val="42BF728F"/>
    <w:rsid w:val="42D40179"/>
    <w:rsid w:val="42D5073C"/>
    <w:rsid w:val="430360D4"/>
    <w:rsid w:val="432664FB"/>
    <w:rsid w:val="434A3F97"/>
    <w:rsid w:val="436B215F"/>
    <w:rsid w:val="436D4129"/>
    <w:rsid w:val="43853221"/>
    <w:rsid w:val="43972F54"/>
    <w:rsid w:val="439C3712"/>
    <w:rsid w:val="43A60BE5"/>
    <w:rsid w:val="43A833B4"/>
    <w:rsid w:val="43B22FB9"/>
    <w:rsid w:val="43C24475"/>
    <w:rsid w:val="43D441A9"/>
    <w:rsid w:val="43E02FF1"/>
    <w:rsid w:val="4404698F"/>
    <w:rsid w:val="44095C00"/>
    <w:rsid w:val="44133E94"/>
    <w:rsid w:val="4414151F"/>
    <w:rsid w:val="44515B32"/>
    <w:rsid w:val="44607359"/>
    <w:rsid w:val="4464552C"/>
    <w:rsid w:val="44AA4BAF"/>
    <w:rsid w:val="44B81B19"/>
    <w:rsid w:val="44DB3C7B"/>
    <w:rsid w:val="44DC1567"/>
    <w:rsid w:val="44E67CEF"/>
    <w:rsid w:val="44F2286E"/>
    <w:rsid w:val="44F71EFD"/>
    <w:rsid w:val="44FC6397"/>
    <w:rsid w:val="455373D1"/>
    <w:rsid w:val="45551632"/>
    <w:rsid w:val="456D6663"/>
    <w:rsid w:val="45795008"/>
    <w:rsid w:val="457F1EF2"/>
    <w:rsid w:val="45837D97"/>
    <w:rsid w:val="45877724"/>
    <w:rsid w:val="45C142B9"/>
    <w:rsid w:val="45C36283"/>
    <w:rsid w:val="45EA0400"/>
    <w:rsid w:val="46007F30"/>
    <w:rsid w:val="463B050F"/>
    <w:rsid w:val="46496788"/>
    <w:rsid w:val="464A649A"/>
    <w:rsid w:val="465A6BE7"/>
    <w:rsid w:val="466E2692"/>
    <w:rsid w:val="46713857"/>
    <w:rsid w:val="468A6DA0"/>
    <w:rsid w:val="469A1818"/>
    <w:rsid w:val="46A00372"/>
    <w:rsid w:val="46E42146"/>
    <w:rsid w:val="46F96400"/>
    <w:rsid w:val="46FA5CD4"/>
    <w:rsid w:val="470A1426"/>
    <w:rsid w:val="471072A6"/>
    <w:rsid w:val="475C24EB"/>
    <w:rsid w:val="477B5067"/>
    <w:rsid w:val="47900CFD"/>
    <w:rsid w:val="47AC18A6"/>
    <w:rsid w:val="47C87B80"/>
    <w:rsid w:val="48030BB8"/>
    <w:rsid w:val="485A1120"/>
    <w:rsid w:val="48632E3C"/>
    <w:rsid w:val="487241CC"/>
    <w:rsid w:val="48790E7B"/>
    <w:rsid w:val="48822425"/>
    <w:rsid w:val="48965ED0"/>
    <w:rsid w:val="48B14AB8"/>
    <w:rsid w:val="48B63E7D"/>
    <w:rsid w:val="48C77E38"/>
    <w:rsid w:val="48D52555"/>
    <w:rsid w:val="48E44E8E"/>
    <w:rsid w:val="48F055E1"/>
    <w:rsid w:val="491C4D4F"/>
    <w:rsid w:val="491F5EC6"/>
    <w:rsid w:val="492D05E3"/>
    <w:rsid w:val="493642ED"/>
    <w:rsid w:val="49383A1C"/>
    <w:rsid w:val="49535B70"/>
    <w:rsid w:val="49EB7B56"/>
    <w:rsid w:val="4A080708"/>
    <w:rsid w:val="4A0A236E"/>
    <w:rsid w:val="4A2540DF"/>
    <w:rsid w:val="4A3239D7"/>
    <w:rsid w:val="4A5F2DF0"/>
    <w:rsid w:val="4A897729"/>
    <w:rsid w:val="4A9B157C"/>
    <w:rsid w:val="4AA03036"/>
    <w:rsid w:val="4AA63AF5"/>
    <w:rsid w:val="4AA928D4"/>
    <w:rsid w:val="4ABB1C1E"/>
    <w:rsid w:val="4AC11818"/>
    <w:rsid w:val="4AC841ED"/>
    <w:rsid w:val="4AC960E9"/>
    <w:rsid w:val="4AE253FD"/>
    <w:rsid w:val="4AF02939"/>
    <w:rsid w:val="4B3B68BB"/>
    <w:rsid w:val="4B4C0AC8"/>
    <w:rsid w:val="4B5A51FE"/>
    <w:rsid w:val="4B5B331C"/>
    <w:rsid w:val="4B63541B"/>
    <w:rsid w:val="4B6575F2"/>
    <w:rsid w:val="4B6C24A0"/>
    <w:rsid w:val="4B885FA4"/>
    <w:rsid w:val="4B9739EF"/>
    <w:rsid w:val="4BCE772F"/>
    <w:rsid w:val="4BD016F9"/>
    <w:rsid w:val="4BE3142D"/>
    <w:rsid w:val="4BE344D8"/>
    <w:rsid w:val="4BF47196"/>
    <w:rsid w:val="4BFC429C"/>
    <w:rsid w:val="4C0275E6"/>
    <w:rsid w:val="4C162F88"/>
    <w:rsid w:val="4C1B62AD"/>
    <w:rsid w:val="4C3E2B07"/>
    <w:rsid w:val="4C472E3A"/>
    <w:rsid w:val="4C6A269D"/>
    <w:rsid w:val="4C7D362F"/>
    <w:rsid w:val="4C9A68E4"/>
    <w:rsid w:val="4C9E35A6"/>
    <w:rsid w:val="4CB46925"/>
    <w:rsid w:val="4CBB7CB4"/>
    <w:rsid w:val="4CCF19B1"/>
    <w:rsid w:val="4CD04385"/>
    <w:rsid w:val="4CD76B64"/>
    <w:rsid w:val="4CE23168"/>
    <w:rsid w:val="4CF502FC"/>
    <w:rsid w:val="4CFB4554"/>
    <w:rsid w:val="4D3857A8"/>
    <w:rsid w:val="4D3F2693"/>
    <w:rsid w:val="4D517787"/>
    <w:rsid w:val="4D986247"/>
    <w:rsid w:val="4DA370C6"/>
    <w:rsid w:val="4DB85401"/>
    <w:rsid w:val="4DB86E63"/>
    <w:rsid w:val="4E1B40AC"/>
    <w:rsid w:val="4E231FB4"/>
    <w:rsid w:val="4E4E5A24"/>
    <w:rsid w:val="4E603FF9"/>
    <w:rsid w:val="4E660741"/>
    <w:rsid w:val="4EBA3989"/>
    <w:rsid w:val="4EC860E9"/>
    <w:rsid w:val="4ECD1134"/>
    <w:rsid w:val="4EDE7C89"/>
    <w:rsid w:val="4EF31987"/>
    <w:rsid w:val="4EF37BD9"/>
    <w:rsid w:val="4F11005F"/>
    <w:rsid w:val="4F456E69"/>
    <w:rsid w:val="4F786330"/>
    <w:rsid w:val="4F7B395F"/>
    <w:rsid w:val="4F85385C"/>
    <w:rsid w:val="4F9D18F3"/>
    <w:rsid w:val="4FB804D9"/>
    <w:rsid w:val="4FD07F1A"/>
    <w:rsid w:val="4FD158A3"/>
    <w:rsid w:val="4FD94B00"/>
    <w:rsid w:val="4FE65048"/>
    <w:rsid w:val="50164D1E"/>
    <w:rsid w:val="50303D46"/>
    <w:rsid w:val="50412104"/>
    <w:rsid w:val="504D3319"/>
    <w:rsid w:val="505521CD"/>
    <w:rsid w:val="506A5C79"/>
    <w:rsid w:val="508230AB"/>
    <w:rsid w:val="50AF3E9A"/>
    <w:rsid w:val="50C86E43"/>
    <w:rsid w:val="50F739B5"/>
    <w:rsid w:val="51046FBD"/>
    <w:rsid w:val="5116195C"/>
    <w:rsid w:val="511D2CEB"/>
    <w:rsid w:val="513149E8"/>
    <w:rsid w:val="517B3EB5"/>
    <w:rsid w:val="51B07687"/>
    <w:rsid w:val="520420FD"/>
    <w:rsid w:val="52130FD4"/>
    <w:rsid w:val="523227C6"/>
    <w:rsid w:val="523C1897"/>
    <w:rsid w:val="523F1387"/>
    <w:rsid w:val="525D1C1E"/>
    <w:rsid w:val="526F57C8"/>
    <w:rsid w:val="528A44A2"/>
    <w:rsid w:val="528B0128"/>
    <w:rsid w:val="52944433"/>
    <w:rsid w:val="52952D55"/>
    <w:rsid w:val="52BC664F"/>
    <w:rsid w:val="52CE7E65"/>
    <w:rsid w:val="52E15812"/>
    <w:rsid w:val="52F60F5A"/>
    <w:rsid w:val="52FA08A9"/>
    <w:rsid w:val="530D1A0F"/>
    <w:rsid w:val="53363CF6"/>
    <w:rsid w:val="53382404"/>
    <w:rsid w:val="5340384F"/>
    <w:rsid w:val="53514ECE"/>
    <w:rsid w:val="536B055B"/>
    <w:rsid w:val="537137C2"/>
    <w:rsid w:val="53AC04B4"/>
    <w:rsid w:val="53CE29C2"/>
    <w:rsid w:val="541A5C08"/>
    <w:rsid w:val="541F13E3"/>
    <w:rsid w:val="543D1673"/>
    <w:rsid w:val="54552C73"/>
    <w:rsid w:val="547A66A6"/>
    <w:rsid w:val="54857525"/>
    <w:rsid w:val="54905CF9"/>
    <w:rsid w:val="54A11E85"/>
    <w:rsid w:val="54B63601"/>
    <w:rsid w:val="54BE6593"/>
    <w:rsid w:val="54C53DC5"/>
    <w:rsid w:val="54DC6596"/>
    <w:rsid w:val="55286102"/>
    <w:rsid w:val="553B4087"/>
    <w:rsid w:val="553E5926"/>
    <w:rsid w:val="556829A3"/>
    <w:rsid w:val="559B4B26"/>
    <w:rsid w:val="55AA2FBB"/>
    <w:rsid w:val="55AE4859"/>
    <w:rsid w:val="55B17EA6"/>
    <w:rsid w:val="55C53951"/>
    <w:rsid w:val="55EF09CE"/>
    <w:rsid w:val="55FC3817"/>
    <w:rsid w:val="560B0A66"/>
    <w:rsid w:val="5627460C"/>
    <w:rsid w:val="56454571"/>
    <w:rsid w:val="56564C12"/>
    <w:rsid w:val="565B4862"/>
    <w:rsid w:val="5671000C"/>
    <w:rsid w:val="567426CC"/>
    <w:rsid w:val="5678693A"/>
    <w:rsid w:val="56794DEB"/>
    <w:rsid w:val="568850AA"/>
    <w:rsid w:val="56933A4F"/>
    <w:rsid w:val="569D7A6D"/>
    <w:rsid w:val="56AB2B47"/>
    <w:rsid w:val="56C9121F"/>
    <w:rsid w:val="56F06AB6"/>
    <w:rsid w:val="574014E1"/>
    <w:rsid w:val="574F3E1A"/>
    <w:rsid w:val="57512F2A"/>
    <w:rsid w:val="57580313"/>
    <w:rsid w:val="57584816"/>
    <w:rsid w:val="577E202E"/>
    <w:rsid w:val="57835872"/>
    <w:rsid w:val="57884888"/>
    <w:rsid w:val="57C06AC6"/>
    <w:rsid w:val="57C57D67"/>
    <w:rsid w:val="57C96FA8"/>
    <w:rsid w:val="57CA16F3"/>
    <w:rsid w:val="57EA769F"/>
    <w:rsid w:val="57EC3417"/>
    <w:rsid w:val="57F01E5C"/>
    <w:rsid w:val="57F132B5"/>
    <w:rsid w:val="581773D5"/>
    <w:rsid w:val="581E5D66"/>
    <w:rsid w:val="583848AE"/>
    <w:rsid w:val="5840291B"/>
    <w:rsid w:val="58491A6E"/>
    <w:rsid w:val="586176DE"/>
    <w:rsid w:val="587D49B7"/>
    <w:rsid w:val="58A67A6A"/>
    <w:rsid w:val="58AE4B70"/>
    <w:rsid w:val="58BA12AF"/>
    <w:rsid w:val="58BB2CBF"/>
    <w:rsid w:val="58BF4607"/>
    <w:rsid w:val="58CD166C"/>
    <w:rsid w:val="58E25576"/>
    <w:rsid w:val="58E93DFA"/>
    <w:rsid w:val="58ED4020"/>
    <w:rsid w:val="58FD3402"/>
    <w:rsid w:val="59003716"/>
    <w:rsid w:val="593360D8"/>
    <w:rsid w:val="593432C8"/>
    <w:rsid w:val="593C3085"/>
    <w:rsid w:val="594F0101"/>
    <w:rsid w:val="59513E7A"/>
    <w:rsid w:val="597C6A1D"/>
    <w:rsid w:val="59895B39"/>
    <w:rsid w:val="59BA7E91"/>
    <w:rsid w:val="59DC0616"/>
    <w:rsid w:val="5A3115B5"/>
    <w:rsid w:val="5A5F4374"/>
    <w:rsid w:val="5A6B0F6B"/>
    <w:rsid w:val="5A81078E"/>
    <w:rsid w:val="5AC751BB"/>
    <w:rsid w:val="5AF55909"/>
    <w:rsid w:val="5B133B4A"/>
    <w:rsid w:val="5B305D11"/>
    <w:rsid w:val="5B3F7D02"/>
    <w:rsid w:val="5B4D5910"/>
    <w:rsid w:val="5B5D773F"/>
    <w:rsid w:val="5B776F04"/>
    <w:rsid w:val="5B9930D4"/>
    <w:rsid w:val="5BD008DC"/>
    <w:rsid w:val="5BEF44F6"/>
    <w:rsid w:val="5C1867E0"/>
    <w:rsid w:val="5C3C1A94"/>
    <w:rsid w:val="5C3D11A5"/>
    <w:rsid w:val="5C427AAA"/>
    <w:rsid w:val="5C70439F"/>
    <w:rsid w:val="5C731AD7"/>
    <w:rsid w:val="5C7A36E7"/>
    <w:rsid w:val="5C8C08E9"/>
    <w:rsid w:val="5C90552B"/>
    <w:rsid w:val="5CA72002"/>
    <w:rsid w:val="5CD526CC"/>
    <w:rsid w:val="5CD950E5"/>
    <w:rsid w:val="5D163E92"/>
    <w:rsid w:val="5D283143"/>
    <w:rsid w:val="5D5932FD"/>
    <w:rsid w:val="5D5B73EE"/>
    <w:rsid w:val="5D5E147B"/>
    <w:rsid w:val="5D8B36D2"/>
    <w:rsid w:val="5E0019CA"/>
    <w:rsid w:val="5E0D2339"/>
    <w:rsid w:val="5E2F22B0"/>
    <w:rsid w:val="5E4C10B3"/>
    <w:rsid w:val="5E6A0BD6"/>
    <w:rsid w:val="5E76743F"/>
    <w:rsid w:val="5EB405E0"/>
    <w:rsid w:val="5EB50A07"/>
    <w:rsid w:val="5EB84053"/>
    <w:rsid w:val="5EC24ED2"/>
    <w:rsid w:val="5ECD25C0"/>
    <w:rsid w:val="5EDB5F93"/>
    <w:rsid w:val="5EE063BD"/>
    <w:rsid w:val="5EF66FDC"/>
    <w:rsid w:val="5F1020E1"/>
    <w:rsid w:val="5F294F51"/>
    <w:rsid w:val="5F2B2A77"/>
    <w:rsid w:val="5F471631"/>
    <w:rsid w:val="5F4D5C8C"/>
    <w:rsid w:val="5F4E49B7"/>
    <w:rsid w:val="5F64242D"/>
    <w:rsid w:val="5F68698C"/>
    <w:rsid w:val="5F6F3FC2"/>
    <w:rsid w:val="5F702B80"/>
    <w:rsid w:val="5F810E9E"/>
    <w:rsid w:val="5FAF18FA"/>
    <w:rsid w:val="5FCE603F"/>
    <w:rsid w:val="5FCE6208"/>
    <w:rsid w:val="5FDB04D8"/>
    <w:rsid w:val="5FEA2932"/>
    <w:rsid w:val="5FF87B97"/>
    <w:rsid w:val="60340051"/>
    <w:rsid w:val="603E4A2C"/>
    <w:rsid w:val="604357DD"/>
    <w:rsid w:val="604638E0"/>
    <w:rsid w:val="604D2EC1"/>
    <w:rsid w:val="60791F08"/>
    <w:rsid w:val="608C0FFD"/>
    <w:rsid w:val="60980A56"/>
    <w:rsid w:val="60B66CB8"/>
    <w:rsid w:val="60CE7D6C"/>
    <w:rsid w:val="60DD2497"/>
    <w:rsid w:val="60E62F57"/>
    <w:rsid w:val="610B0DB2"/>
    <w:rsid w:val="6118398A"/>
    <w:rsid w:val="611B3BAF"/>
    <w:rsid w:val="61493E9A"/>
    <w:rsid w:val="61646714"/>
    <w:rsid w:val="61691F7C"/>
    <w:rsid w:val="616B1851"/>
    <w:rsid w:val="617D3332"/>
    <w:rsid w:val="618429D0"/>
    <w:rsid w:val="61A62889"/>
    <w:rsid w:val="61B825BC"/>
    <w:rsid w:val="61CB359F"/>
    <w:rsid w:val="61D967D9"/>
    <w:rsid w:val="61E77D04"/>
    <w:rsid w:val="61E84C4F"/>
    <w:rsid w:val="61EB0BE3"/>
    <w:rsid w:val="61F96E5C"/>
    <w:rsid w:val="62077AAD"/>
    <w:rsid w:val="62136D30"/>
    <w:rsid w:val="62184B79"/>
    <w:rsid w:val="62410803"/>
    <w:rsid w:val="62614A02"/>
    <w:rsid w:val="626369CC"/>
    <w:rsid w:val="627B5AC3"/>
    <w:rsid w:val="627F3342"/>
    <w:rsid w:val="628A03FC"/>
    <w:rsid w:val="628F21E4"/>
    <w:rsid w:val="62B64D4D"/>
    <w:rsid w:val="62D43425"/>
    <w:rsid w:val="62DF24F6"/>
    <w:rsid w:val="62E0001C"/>
    <w:rsid w:val="62E017E9"/>
    <w:rsid w:val="62E103AB"/>
    <w:rsid w:val="62E15233"/>
    <w:rsid w:val="62F35FA1"/>
    <w:rsid w:val="63194879"/>
    <w:rsid w:val="632048BD"/>
    <w:rsid w:val="63224191"/>
    <w:rsid w:val="6329551F"/>
    <w:rsid w:val="635051A2"/>
    <w:rsid w:val="635F3E11"/>
    <w:rsid w:val="636C18B0"/>
    <w:rsid w:val="63744A2C"/>
    <w:rsid w:val="639D4F8D"/>
    <w:rsid w:val="63A23524"/>
    <w:rsid w:val="63AB3D74"/>
    <w:rsid w:val="63C74D38"/>
    <w:rsid w:val="63CC234F"/>
    <w:rsid w:val="63D42E95"/>
    <w:rsid w:val="63F4716B"/>
    <w:rsid w:val="63FC0E86"/>
    <w:rsid w:val="64441B4A"/>
    <w:rsid w:val="644A5215"/>
    <w:rsid w:val="644B0E8C"/>
    <w:rsid w:val="644F5459"/>
    <w:rsid w:val="645E38EF"/>
    <w:rsid w:val="646507D9"/>
    <w:rsid w:val="64836EB1"/>
    <w:rsid w:val="64853072"/>
    <w:rsid w:val="64EE4C72"/>
    <w:rsid w:val="64F93617"/>
    <w:rsid w:val="64F97173"/>
    <w:rsid w:val="64FB738F"/>
    <w:rsid w:val="65001403"/>
    <w:rsid w:val="650D2C1F"/>
    <w:rsid w:val="6558033E"/>
    <w:rsid w:val="65764C68"/>
    <w:rsid w:val="658E5B0E"/>
    <w:rsid w:val="65AB2B63"/>
    <w:rsid w:val="65D976D1"/>
    <w:rsid w:val="65EB7404"/>
    <w:rsid w:val="660340CC"/>
    <w:rsid w:val="661204ED"/>
    <w:rsid w:val="661207DE"/>
    <w:rsid w:val="66296C06"/>
    <w:rsid w:val="66372649"/>
    <w:rsid w:val="664E4EED"/>
    <w:rsid w:val="667E282A"/>
    <w:rsid w:val="668301B6"/>
    <w:rsid w:val="669802F4"/>
    <w:rsid w:val="669C06FE"/>
    <w:rsid w:val="66B44263"/>
    <w:rsid w:val="66B45A48"/>
    <w:rsid w:val="66BD69BA"/>
    <w:rsid w:val="66FE6CC3"/>
    <w:rsid w:val="673426E5"/>
    <w:rsid w:val="675863D3"/>
    <w:rsid w:val="67627252"/>
    <w:rsid w:val="677376B1"/>
    <w:rsid w:val="677E1BB2"/>
    <w:rsid w:val="67955879"/>
    <w:rsid w:val="67B6134C"/>
    <w:rsid w:val="67D700FE"/>
    <w:rsid w:val="6821710D"/>
    <w:rsid w:val="684B0799"/>
    <w:rsid w:val="687234C5"/>
    <w:rsid w:val="688B4586"/>
    <w:rsid w:val="68B95597"/>
    <w:rsid w:val="68C0675C"/>
    <w:rsid w:val="68D221B5"/>
    <w:rsid w:val="68D2796A"/>
    <w:rsid w:val="68E56277"/>
    <w:rsid w:val="68E744FF"/>
    <w:rsid w:val="69040E94"/>
    <w:rsid w:val="690430FB"/>
    <w:rsid w:val="69216C99"/>
    <w:rsid w:val="693E784B"/>
    <w:rsid w:val="694D0BB9"/>
    <w:rsid w:val="69676DA1"/>
    <w:rsid w:val="698835CF"/>
    <w:rsid w:val="69A763FB"/>
    <w:rsid w:val="69D60BF7"/>
    <w:rsid w:val="69DA57C5"/>
    <w:rsid w:val="6A355B4A"/>
    <w:rsid w:val="6A3F17D8"/>
    <w:rsid w:val="6A4543D1"/>
    <w:rsid w:val="6A4B4EEB"/>
    <w:rsid w:val="6A4D2E13"/>
    <w:rsid w:val="6AA61B4B"/>
    <w:rsid w:val="6AAD4C88"/>
    <w:rsid w:val="6AB06526"/>
    <w:rsid w:val="6ABE0C43"/>
    <w:rsid w:val="6AE13436"/>
    <w:rsid w:val="6B07083C"/>
    <w:rsid w:val="6B2A62D8"/>
    <w:rsid w:val="6B2B5AE9"/>
    <w:rsid w:val="6B341B23"/>
    <w:rsid w:val="6B397A9B"/>
    <w:rsid w:val="6B4A0729"/>
    <w:rsid w:val="6B5E5F82"/>
    <w:rsid w:val="6B7E4876"/>
    <w:rsid w:val="6B9E4033"/>
    <w:rsid w:val="6BC9216C"/>
    <w:rsid w:val="6BCB6D69"/>
    <w:rsid w:val="6BD87854"/>
    <w:rsid w:val="6BE648F5"/>
    <w:rsid w:val="6BF568E6"/>
    <w:rsid w:val="6C0707FA"/>
    <w:rsid w:val="6C16685D"/>
    <w:rsid w:val="6C3118E9"/>
    <w:rsid w:val="6C5F6456"/>
    <w:rsid w:val="6C711CE5"/>
    <w:rsid w:val="6C8B724B"/>
    <w:rsid w:val="6C9A1442"/>
    <w:rsid w:val="6CAE0472"/>
    <w:rsid w:val="6CC4275D"/>
    <w:rsid w:val="6CCA346B"/>
    <w:rsid w:val="6CDA6611"/>
    <w:rsid w:val="6D1E00BF"/>
    <w:rsid w:val="6D2850DD"/>
    <w:rsid w:val="6D2A0812"/>
    <w:rsid w:val="6D2D0302"/>
    <w:rsid w:val="6D413DAD"/>
    <w:rsid w:val="6D512242"/>
    <w:rsid w:val="6D5175C4"/>
    <w:rsid w:val="6D62524E"/>
    <w:rsid w:val="6D6F091A"/>
    <w:rsid w:val="6D757724"/>
    <w:rsid w:val="6D9129A4"/>
    <w:rsid w:val="6DDD15C6"/>
    <w:rsid w:val="6DDD2F15"/>
    <w:rsid w:val="6DF60CDD"/>
    <w:rsid w:val="6E001573"/>
    <w:rsid w:val="6E496C3A"/>
    <w:rsid w:val="6E7239B1"/>
    <w:rsid w:val="6E971ED7"/>
    <w:rsid w:val="6EA510B2"/>
    <w:rsid w:val="6EAC5256"/>
    <w:rsid w:val="6EC86E14"/>
    <w:rsid w:val="6EE23E6D"/>
    <w:rsid w:val="6F4D4C8B"/>
    <w:rsid w:val="6F4E393D"/>
    <w:rsid w:val="6F5B1156"/>
    <w:rsid w:val="6F7F60BE"/>
    <w:rsid w:val="6F80296B"/>
    <w:rsid w:val="6F9A64C0"/>
    <w:rsid w:val="6FB731A7"/>
    <w:rsid w:val="6FCB0DD7"/>
    <w:rsid w:val="6FCF56A0"/>
    <w:rsid w:val="6FE84CBB"/>
    <w:rsid w:val="6FE97A16"/>
    <w:rsid w:val="70025A76"/>
    <w:rsid w:val="700B1AC3"/>
    <w:rsid w:val="7027489E"/>
    <w:rsid w:val="70407797"/>
    <w:rsid w:val="704472F6"/>
    <w:rsid w:val="70512559"/>
    <w:rsid w:val="70713069"/>
    <w:rsid w:val="70A02B99"/>
    <w:rsid w:val="70C1323B"/>
    <w:rsid w:val="70E55EE0"/>
    <w:rsid w:val="70E64A50"/>
    <w:rsid w:val="70EF6DE6"/>
    <w:rsid w:val="70FC0717"/>
    <w:rsid w:val="71036CB3"/>
    <w:rsid w:val="711E068D"/>
    <w:rsid w:val="712612F0"/>
    <w:rsid w:val="713A2FED"/>
    <w:rsid w:val="71504848"/>
    <w:rsid w:val="71866233"/>
    <w:rsid w:val="71891E5C"/>
    <w:rsid w:val="718D0BC1"/>
    <w:rsid w:val="71AB7A47"/>
    <w:rsid w:val="71B72890"/>
    <w:rsid w:val="71CF3736"/>
    <w:rsid w:val="71DF72FF"/>
    <w:rsid w:val="71FC02A3"/>
    <w:rsid w:val="721E646B"/>
    <w:rsid w:val="72300210"/>
    <w:rsid w:val="724A54B2"/>
    <w:rsid w:val="7251239D"/>
    <w:rsid w:val="726F6CC7"/>
    <w:rsid w:val="72716D97"/>
    <w:rsid w:val="7281270B"/>
    <w:rsid w:val="72BC4553"/>
    <w:rsid w:val="72CB5869"/>
    <w:rsid w:val="72DD1E82"/>
    <w:rsid w:val="72DF5BFA"/>
    <w:rsid w:val="72E32DBD"/>
    <w:rsid w:val="731D4975"/>
    <w:rsid w:val="732D4924"/>
    <w:rsid w:val="73357F10"/>
    <w:rsid w:val="733777E5"/>
    <w:rsid w:val="736929A6"/>
    <w:rsid w:val="73826F70"/>
    <w:rsid w:val="73836ECE"/>
    <w:rsid w:val="73954E50"/>
    <w:rsid w:val="73974727"/>
    <w:rsid w:val="73A155A6"/>
    <w:rsid w:val="73AB00A9"/>
    <w:rsid w:val="73AC06FF"/>
    <w:rsid w:val="73AD5CF9"/>
    <w:rsid w:val="73AF1CFF"/>
    <w:rsid w:val="73B87C2E"/>
    <w:rsid w:val="73F03BF6"/>
    <w:rsid w:val="740B2A1F"/>
    <w:rsid w:val="741144D9"/>
    <w:rsid w:val="74253AE1"/>
    <w:rsid w:val="743E1047"/>
    <w:rsid w:val="745242D5"/>
    <w:rsid w:val="746960C4"/>
    <w:rsid w:val="748548EC"/>
    <w:rsid w:val="74AF784E"/>
    <w:rsid w:val="74B42071"/>
    <w:rsid w:val="74FC1B3B"/>
    <w:rsid w:val="750202C6"/>
    <w:rsid w:val="75044CE9"/>
    <w:rsid w:val="7533222E"/>
    <w:rsid w:val="75475CD9"/>
    <w:rsid w:val="757C5983"/>
    <w:rsid w:val="758E3908"/>
    <w:rsid w:val="759545AB"/>
    <w:rsid w:val="75AF5D58"/>
    <w:rsid w:val="75B275F6"/>
    <w:rsid w:val="75B9660D"/>
    <w:rsid w:val="75E8126A"/>
    <w:rsid w:val="75F145C2"/>
    <w:rsid w:val="75F70361"/>
    <w:rsid w:val="7614205F"/>
    <w:rsid w:val="7641097A"/>
    <w:rsid w:val="76553E4A"/>
    <w:rsid w:val="765D6045"/>
    <w:rsid w:val="76684159"/>
    <w:rsid w:val="76694ED5"/>
    <w:rsid w:val="767B20DE"/>
    <w:rsid w:val="76857BC9"/>
    <w:rsid w:val="76AC04E9"/>
    <w:rsid w:val="76B13D52"/>
    <w:rsid w:val="76C870FF"/>
    <w:rsid w:val="76D87530"/>
    <w:rsid w:val="76EF155C"/>
    <w:rsid w:val="770F0450"/>
    <w:rsid w:val="770F2826"/>
    <w:rsid w:val="7718792D"/>
    <w:rsid w:val="771A18F7"/>
    <w:rsid w:val="77302EC9"/>
    <w:rsid w:val="774D4AD7"/>
    <w:rsid w:val="775B5A6C"/>
    <w:rsid w:val="775E343D"/>
    <w:rsid w:val="777A6DA0"/>
    <w:rsid w:val="77C656F3"/>
    <w:rsid w:val="77C74EAF"/>
    <w:rsid w:val="77DF59E5"/>
    <w:rsid w:val="77F358EA"/>
    <w:rsid w:val="78056103"/>
    <w:rsid w:val="78085BF3"/>
    <w:rsid w:val="781E5417"/>
    <w:rsid w:val="783407AE"/>
    <w:rsid w:val="7863107C"/>
    <w:rsid w:val="78762B5D"/>
    <w:rsid w:val="787F2D2A"/>
    <w:rsid w:val="789B25C4"/>
    <w:rsid w:val="78C30917"/>
    <w:rsid w:val="78CE2973"/>
    <w:rsid w:val="78DD2BDC"/>
    <w:rsid w:val="791D747D"/>
    <w:rsid w:val="795D3561"/>
    <w:rsid w:val="796759EA"/>
    <w:rsid w:val="796A66EA"/>
    <w:rsid w:val="796E35A5"/>
    <w:rsid w:val="799534B7"/>
    <w:rsid w:val="799965B3"/>
    <w:rsid w:val="79B57267"/>
    <w:rsid w:val="79B871A5"/>
    <w:rsid w:val="79B8728D"/>
    <w:rsid w:val="79C14F8E"/>
    <w:rsid w:val="79C45B4A"/>
    <w:rsid w:val="79C478F8"/>
    <w:rsid w:val="79CD3E54"/>
    <w:rsid w:val="79CE0777"/>
    <w:rsid w:val="79D42231"/>
    <w:rsid w:val="79E81839"/>
    <w:rsid w:val="79ED2767"/>
    <w:rsid w:val="79F35B0F"/>
    <w:rsid w:val="7A006081"/>
    <w:rsid w:val="7A24483B"/>
    <w:rsid w:val="7A277702"/>
    <w:rsid w:val="7A320D06"/>
    <w:rsid w:val="7A603AC5"/>
    <w:rsid w:val="7A735F4B"/>
    <w:rsid w:val="7A7F0907"/>
    <w:rsid w:val="7AB7745D"/>
    <w:rsid w:val="7AD7365B"/>
    <w:rsid w:val="7AE227F0"/>
    <w:rsid w:val="7AF560CF"/>
    <w:rsid w:val="7AF7760E"/>
    <w:rsid w:val="7B1A0118"/>
    <w:rsid w:val="7B6969E8"/>
    <w:rsid w:val="7B95154C"/>
    <w:rsid w:val="7B9559F0"/>
    <w:rsid w:val="7BBF481B"/>
    <w:rsid w:val="7BEA3E4C"/>
    <w:rsid w:val="7C042B76"/>
    <w:rsid w:val="7C08566B"/>
    <w:rsid w:val="7C1F350C"/>
    <w:rsid w:val="7C217284"/>
    <w:rsid w:val="7C3A20F4"/>
    <w:rsid w:val="7C4411C4"/>
    <w:rsid w:val="7C52743D"/>
    <w:rsid w:val="7C5C7004"/>
    <w:rsid w:val="7C63789C"/>
    <w:rsid w:val="7C6F6241"/>
    <w:rsid w:val="7CAD4FBB"/>
    <w:rsid w:val="7CF91FAF"/>
    <w:rsid w:val="7D00305B"/>
    <w:rsid w:val="7D056BA5"/>
    <w:rsid w:val="7D0746CC"/>
    <w:rsid w:val="7D2C7C8E"/>
    <w:rsid w:val="7D3A259F"/>
    <w:rsid w:val="7D726ED1"/>
    <w:rsid w:val="7DA26ECF"/>
    <w:rsid w:val="7DAC5273"/>
    <w:rsid w:val="7DE1316F"/>
    <w:rsid w:val="7DF221CE"/>
    <w:rsid w:val="7DFD5ACF"/>
    <w:rsid w:val="7E0215F5"/>
    <w:rsid w:val="7E0D4E0A"/>
    <w:rsid w:val="7E2E3EDA"/>
    <w:rsid w:val="7E32384F"/>
    <w:rsid w:val="7E494870"/>
    <w:rsid w:val="7E4E3F32"/>
    <w:rsid w:val="7E4F012F"/>
    <w:rsid w:val="7E574528"/>
    <w:rsid w:val="7E6D67B0"/>
    <w:rsid w:val="7E745D91"/>
    <w:rsid w:val="7E7C2E97"/>
    <w:rsid w:val="7EA63A70"/>
    <w:rsid w:val="7EC5039A"/>
    <w:rsid w:val="7EDD2670"/>
    <w:rsid w:val="7EE43CD7"/>
    <w:rsid w:val="7EFE565A"/>
    <w:rsid w:val="7F106B54"/>
    <w:rsid w:val="7F2C21C7"/>
    <w:rsid w:val="7F3362E7"/>
    <w:rsid w:val="7F427C3D"/>
    <w:rsid w:val="7F430957"/>
    <w:rsid w:val="7F7122D0"/>
    <w:rsid w:val="7F7536F5"/>
    <w:rsid w:val="7F7D0D02"/>
    <w:rsid w:val="7F8C2C66"/>
    <w:rsid w:val="7FBB179D"/>
    <w:rsid w:val="7FC71EF0"/>
    <w:rsid w:val="7FD0349B"/>
    <w:rsid w:val="7FD34D39"/>
    <w:rsid w:val="7FF16857"/>
    <w:rsid w:val="7FFC7C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pPr>
    <w:rPr>
      <w:rFonts w:ascii="Calibri" w:hAnsi="Calibri" w:eastAsia="仿宋" w:cs="Times New Roman"/>
      <w:kern w:val="2"/>
      <w:sz w:val="32"/>
      <w:szCs w:val="24"/>
      <w:lang w:val="en-US" w:eastAsia="zh-CN" w:bidi="ar-SA"/>
    </w:rPr>
  </w:style>
  <w:style w:type="paragraph" w:styleId="3">
    <w:name w:val="heading 1"/>
    <w:basedOn w:val="4"/>
    <w:next w:val="1"/>
    <w:qFormat/>
    <w:uiPriority w:val="0"/>
    <w:pPr>
      <w:keepNext/>
      <w:keepLines/>
      <w:spacing w:before="340" w:after="330"/>
    </w:pPr>
    <w:rPr>
      <w:rFonts w:eastAsia="方正小标宋简体"/>
      <w:kern w:val="44"/>
      <w:sz w:val="36"/>
    </w:rPr>
  </w:style>
  <w:style w:type="paragraph" w:styleId="5">
    <w:name w:val="heading 2"/>
    <w:basedOn w:val="1"/>
    <w:next w:val="1"/>
    <w:link w:val="23"/>
    <w:unhideWhenUsed/>
    <w:qFormat/>
    <w:uiPriority w:val="0"/>
    <w:pPr>
      <w:keepNext/>
      <w:keepLines/>
      <w:ind w:firstLine="720"/>
      <w:outlineLvl w:val="1"/>
    </w:pPr>
    <w:rPr>
      <w:rFonts w:ascii="Arial" w:hAnsi="Arial" w:eastAsia="黑体" w:cstheme="minorBidi"/>
      <w:b/>
    </w:rPr>
  </w:style>
  <w:style w:type="paragraph" w:styleId="6">
    <w:name w:val="heading 3"/>
    <w:basedOn w:val="1"/>
    <w:next w:val="1"/>
    <w:qFormat/>
    <w:uiPriority w:val="0"/>
    <w:pPr>
      <w:keepNext/>
      <w:keepLines/>
      <w:ind w:firstLine="720"/>
      <w:outlineLvl w:val="2"/>
    </w:pPr>
    <w:rPr>
      <w:rFonts w:ascii="Arial" w:hAnsi="Arial" w:eastAsia="楷体" w:cstheme="minorBidi"/>
      <w:b/>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99"/>
    <w:pPr>
      <w:ind w:left="420" w:leftChars="200"/>
    </w:pPr>
    <w:rPr>
      <w:rFonts w:ascii="Times New Roman" w:hAnsi="Times New Roman" w:eastAsia="宋体"/>
    </w:rPr>
  </w:style>
  <w:style w:type="paragraph" w:styleId="4">
    <w:name w:val="Title"/>
    <w:basedOn w:val="1"/>
    <w:qFormat/>
    <w:uiPriority w:val="0"/>
    <w:pPr>
      <w:spacing w:before="240" w:after="60"/>
      <w:jc w:val="center"/>
      <w:outlineLvl w:val="0"/>
    </w:pPr>
    <w:rPr>
      <w:rFonts w:ascii="Arial" w:hAnsi="Arial"/>
      <w:b/>
    </w:rPr>
  </w:style>
  <w:style w:type="paragraph" w:styleId="7">
    <w:name w:val="Document Map"/>
    <w:basedOn w:val="1"/>
    <w:link w:val="26"/>
    <w:qFormat/>
    <w:uiPriority w:val="0"/>
    <w:rPr>
      <w:rFonts w:ascii="宋体" w:eastAsia="宋体"/>
      <w:sz w:val="18"/>
      <w:szCs w:val="18"/>
    </w:rPr>
  </w:style>
  <w:style w:type="paragraph" w:styleId="8">
    <w:name w:val="Body Text"/>
    <w:basedOn w:val="1"/>
    <w:next w:val="9"/>
    <w:qFormat/>
    <w:uiPriority w:val="0"/>
    <w:pPr>
      <w:spacing w:after="120"/>
    </w:pPr>
  </w:style>
  <w:style w:type="paragraph" w:styleId="9">
    <w:name w:val="Body Text Indent 2"/>
    <w:basedOn w:val="1"/>
    <w:next w:val="10"/>
    <w:qFormat/>
    <w:uiPriority w:val="0"/>
    <w:pPr>
      <w:spacing w:line="580" w:lineRule="exact"/>
      <w:ind w:firstLine="200"/>
    </w:pPr>
    <w:rPr>
      <w:rFonts w:ascii="仿宋_GB2312" w:hAnsi="仿宋_GB2312" w:eastAsia="仿宋_GB2312" w:cs="宋体"/>
      <w:sz w:val="28"/>
      <w:szCs w:val="32"/>
    </w:rPr>
  </w:style>
  <w:style w:type="paragraph" w:styleId="10">
    <w:name w:val="Normal (Web)"/>
    <w:basedOn w:val="1"/>
    <w:next w:val="1"/>
    <w:qFormat/>
    <w:uiPriority w:val="0"/>
    <w:pPr>
      <w:widowControl/>
      <w:spacing w:beforeAutospacing="1" w:afterAutospacing="1"/>
    </w:pPr>
    <w:rPr>
      <w:rFonts w:ascii="宋体" w:hAnsi="宋体" w:eastAsia="宋体"/>
      <w:kern w:val="0"/>
      <w:sz w:val="24"/>
    </w:rPr>
  </w:style>
  <w:style w:type="paragraph" w:styleId="11">
    <w:name w:val="Plain Text"/>
    <w:basedOn w:val="1"/>
    <w:qFormat/>
    <w:uiPriority w:val="0"/>
    <w:rPr>
      <w:rFonts w:ascii="宋体" w:hAnsi="Courier New"/>
    </w:rPr>
  </w:style>
  <w:style w:type="paragraph" w:styleId="12">
    <w:name w:val="Balloon Text"/>
    <w:basedOn w:val="1"/>
    <w:link w:val="24"/>
    <w:qFormat/>
    <w:uiPriority w:val="0"/>
    <w:pPr>
      <w:spacing w:line="240" w:lineRule="auto"/>
    </w:pPr>
    <w:rPr>
      <w:sz w:val="18"/>
      <w:szCs w:val="18"/>
    </w:rPr>
  </w:style>
  <w:style w:type="paragraph" w:styleId="13">
    <w:name w:val="footer"/>
    <w:basedOn w:val="1"/>
    <w:qFormat/>
    <w:uiPriority w:val="0"/>
    <w:pPr>
      <w:tabs>
        <w:tab w:val="center" w:pos="4153"/>
        <w:tab w:val="right" w:pos="8306"/>
      </w:tabs>
      <w:snapToGrid w:val="0"/>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6">
    <w:name w:val="Table Grid"/>
    <w:basedOn w:val="1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18">
    <w:name w:val="Hyperlink"/>
    <w:basedOn w:val="17"/>
    <w:qFormat/>
    <w:uiPriority w:val="0"/>
    <w:rPr>
      <w:color w:val="0000FF"/>
      <w:u w:val="single"/>
    </w:rPr>
  </w:style>
  <w:style w:type="paragraph" w:customStyle="1" w:styleId="19">
    <w:name w:val="正文首行缩进 21"/>
    <w:basedOn w:val="20"/>
    <w:next w:val="10"/>
    <w:qFormat/>
    <w:uiPriority w:val="99"/>
    <w:pPr>
      <w:ind w:firstLine="200" w:firstLineChars="200"/>
    </w:pPr>
  </w:style>
  <w:style w:type="paragraph" w:customStyle="1" w:styleId="20">
    <w:name w:val="正文文本缩进1"/>
    <w:basedOn w:val="1"/>
    <w:qFormat/>
    <w:uiPriority w:val="99"/>
    <w:pPr>
      <w:ind w:left="200" w:leftChars="200" w:firstLine="0" w:firstLineChars="0"/>
      <w:jc w:val="center"/>
    </w:pPr>
  </w:style>
  <w:style w:type="paragraph" w:customStyle="1" w:styleId="21">
    <w:name w:val="WPSOffice手动目录 1"/>
    <w:qFormat/>
    <w:uiPriority w:val="0"/>
    <w:rPr>
      <w:rFonts w:ascii="Times New Roman" w:hAnsi="Times New Roman" w:eastAsia="宋体" w:cs="Times New Roman"/>
      <w:lang w:val="en-US" w:eastAsia="zh-CN" w:bidi="ar-SA"/>
    </w:rPr>
  </w:style>
  <w:style w:type="paragraph" w:customStyle="1" w:styleId="2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3">
    <w:name w:val="标题 2 Char"/>
    <w:link w:val="5"/>
    <w:qFormat/>
    <w:uiPriority w:val="0"/>
    <w:rPr>
      <w:rFonts w:ascii="Arial" w:hAnsi="Arial" w:eastAsia="黑体" w:cstheme="minorBidi"/>
      <w:b/>
    </w:rPr>
  </w:style>
  <w:style w:type="character" w:customStyle="1" w:styleId="24">
    <w:name w:val="批注框文本 Char"/>
    <w:basedOn w:val="17"/>
    <w:link w:val="12"/>
    <w:qFormat/>
    <w:uiPriority w:val="0"/>
    <w:rPr>
      <w:rFonts w:ascii="Calibri" w:hAnsi="Calibri" w:eastAsia="仿宋" w:cs="Times New Roman"/>
      <w:kern w:val="2"/>
      <w:sz w:val="18"/>
      <w:szCs w:val="18"/>
    </w:rPr>
  </w:style>
  <w:style w:type="paragraph" w:customStyle="1" w:styleId="25">
    <w:name w:val="闻政正文"/>
    <w:basedOn w:val="1"/>
    <w:qFormat/>
    <w:uiPriority w:val="0"/>
    <w:pPr>
      <w:spacing w:line="500" w:lineRule="exact"/>
      <w:ind w:firstLine="560"/>
    </w:pPr>
    <w:rPr>
      <w:rFonts w:eastAsia="仿宋_GB2312"/>
      <w:sz w:val="28"/>
      <w:szCs w:val="28"/>
    </w:rPr>
  </w:style>
  <w:style w:type="character" w:customStyle="1" w:styleId="26">
    <w:name w:val="文档结构图 Char"/>
    <w:basedOn w:val="17"/>
    <w:link w:val="7"/>
    <w:qFormat/>
    <w:uiPriority w:val="0"/>
    <w:rPr>
      <w:rFonts w:ascii="宋体" w:hAnsi="Calibri"/>
      <w:kern w:val="2"/>
      <w:sz w:val="18"/>
      <w:szCs w:val="18"/>
    </w:rPr>
  </w:style>
  <w:style w:type="character" w:customStyle="1" w:styleId="27">
    <w:name w:val="font11"/>
    <w:basedOn w:val="17"/>
    <w:qFormat/>
    <w:uiPriority w:val="0"/>
    <w:rPr>
      <w:rFonts w:ascii="Tahoma" w:hAnsi="Tahoma" w:eastAsia="Tahoma" w:cs="Tahoma"/>
      <w:color w:val="000000"/>
      <w:sz w:val="22"/>
      <w:szCs w:val="22"/>
      <w:u w:val="none"/>
    </w:rPr>
  </w:style>
  <w:style w:type="character" w:customStyle="1" w:styleId="28">
    <w:name w:val="font21"/>
    <w:basedOn w:val="17"/>
    <w:qFormat/>
    <w:uiPriority w:val="0"/>
    <w:rPr>
      <w:rFonts w:hint="eastAsia" w:ascii="宋体" w:hAnsi="宋体" w:eastAsia="宋体" w:cs="宋体"/>
      <w:color w:val="000000"/>
      <w:sz w:val="22"/>
      <w:szCs w:val="22"/>
      <w:u w:val="none"/>
    </w:rPr>
  </w:style>
  <w:style w:type="character" w:customStyle="1" w:styleId="29">
    <w:name w:val="font01"/>
    <w:basedOn w:val="17"/>
    <w:qFormat/>
    <w:uiPriority w:val="0"/>
    <w:rPr>
      <w:rFonts w:hint="default"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28502</Words>
  <Characters>34641</Characters>
  <Lines>282</Lines>
  <Paragraphs>79</Paragraphs>
  <TotalTime>0</TotalTime>
  <ScaleCrop>false</ScaleCrop>
  <LinksUpToDate>false</LinksUpToDate>
  <CharactersWithSpaces>34932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2022-08-03T03:47:00Z</dcterms:created>
  <dc:creator>任晓</dc:creator>
  <cp:lastModifiedBy>1</cp:lastModifiedBy>
  <cp:lastPrinted>2022-12-10T10:04:00Z</cp:lastPrinted>
  <dcterms:modified xsi:type="dcterms:W3CDTF">2023-02-13T03:09:53Z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E3D33FF9D41845E08D669B2C7BF707D8</vt:lpwstr>
  </property>
</Properties>
</file>