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body>
    <w:p>
      <w:pPr>
        <w:spacing w:beforeLines="100"/>
        <w:jc w:val="both"/>
        <w:rPr>
          <w:rFonts w:ascii="Times New Roman" w:hAnsi="Times New Roman" w:eastAsia="方正小标宋简体" w:cs="Times New Roman"/>
          <w:sz w:val="44"/>
          <w:szCs w:val="44"/>
        </w:rPr>
      </w:pPr>
    </w:p>
    <w:p>
      <w:pPr>
        <w:spacing w:line="800" w:lineRule="exact"/>
        <w:jc w:val="center"/>
        <w:rPr>
          <w:rFonts w:ascii="Times New Roman" w:hAnsi="Times New Roman" w:eastAsia="方正小标宋简体" w:cs="Times New Roman"/>
          <w:spacing w:val="0"/>
          <w:w w:val="95"/>
          <w:sz w:val="44"/>
          <w:szCs w:val="44"/>
        </w:rPr>
      </w:pPr>
      <w:r>
        <w:rPr>
          <w:rFonts w:ascii="Times New Roman" w:hAnsi="Times New Roman" w:eastAsia="方正小标宋简体" w:cs="Times New Roman"/>
          <w:spacing w:val="0"/>
          <w:w w:val="95"/>
          <w:sz w:val="44"/>
          <w:szCs w:val="44"/>
        </w:rPr>
        <w:t>永济市国民经济和社会发展</w:t>
      </w:r>
    </w:p>
    <w:p>
      <w:pPr>
        <w:spacing w:line="800" w:lineRule="exact"/>
        <w:jc w:val="center"/>
        <w:rPr>
          <w:rFonts w:ascii="Times New Roman" w:hAnsi="Times New Roman" w:eastAsia="方正小标宋简体" w:cs="Times New Roman"/>
          <w:spacing w:val="0"/>
          <w:w w:val="95"/>
          <w:sz w:val="44"/>
          <w:szCs w:val="44"/>
        </w:rPr>
      </w:pPr>
      <w:r>
        <w:rPr>
          <w:rFonts w:ascii="Times New Roman" w:hAnsi="Times New Roman" w:eastAsia="方正小标宋简体" w:cs="Times New Roman"/>
          <w:spacing w:val="0"/>
          <w:w w:val="95"/>
          <w:sz w:val="44"/>
          <w:szCs w:val="44"/>
        </w:rPr>
        <w:t>第十四个五年规划和二〇三五年远景目标纲要</w:t>
      </w: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17"/>
        <w:jc w:val="both"/>
        <w:rPr>
          <w:rFonts w:ascii="Times New Roman" w:hAnsi="Times New Roman"/>
        </w:rPr>
      </w:pPr>
    </w:p>
    <w:p>
      <w:pPr>
        <w:pStyle w:val="8"/>
        <w:ind w:left="0" w:leftChars="0" w:firstLine="0" w:firstLineChars="0"/>
        <w:jc w:val="both"/>
      </w:pPr>
    </w:p>
    <w:p>
      <w:pPr>
        <w:pStyle w:val="9"/>
      </w:pPr>
    </w:p>
    <w:p>
      <w:pPr>
        <w:pStyle w:val="8"/>
        <w:jc w:val="both"/>
        <w:rPr>
          <w:rFonts w:ascii="Times New Roman" w:hAnsi="Times New Roman" w:cs="Times New Roman"/>
        </w:rPr>
      </w:pPr>
    </w:p>
    <w:p>
      <w:pPr>
        <w:pStyle w:val="17"/>
        <w:ind w:firstLine="0"/>
        <w:jc w:val="center"/>
        <w:rPr>
          <w:rFonts w:hint="eastAsia" w:ascii="黑体" w:hAnsi="黑体" w:eastAsia="黑体" w:cs="黑体"/>
          <w:sz w:val="32"/>
          <w:szCs w:val="32"/>
        </w:rPr>
      </w:pPr>
      <w:r>
        <w:rPr>
          <w:rFonts w:hint="eastAsia" w:ascii="黑体" w:hAnsi="黑体" w:eastAsia="黑体" w:cs="黑体"/>
          <w:sz w:val="32"/>
          <w:szCs w:val="32"/>
        </w:rPr>
        <w:t>2021年4月</w:t>
      </w:r>
    </w:p>
    <w:p>
      <w:pPr>
        <w:pStyle w:val="17"/>
        <w:ind w:firstLine="0"/>
        <w:jc w:val="center"/>
        <w:rPr>
          <w:rFonts w:ascii="Times New Roman" w:hAnsi="Times New Roman" w:eastAsia="楷体_GB2312"/>
          <w:sz w:val="36"/>
          <w:szCs w:val="36"/>
        </w:rPr>
        <w:sectPr>
          <w:pgSz w:w="11906" w:h="16838"/>
          <w:pgMar w:top="1984" w:right="1803" w:bottom="1814" w:left="1474" w:header="851" w:footer="992" w:gutter="0"/>
          <w:pgNumType w:start="1"/>
          <w:cols w:space="0" w:num="1"/>
          <w:rtlGutter w:val="0"/>
          <w:docGrid w:type="lines" w:linePitch="318" w:charSpace="0"/>
        </w:sectPr>
      </w:pPr>
    </w:p>
    <w:p>
      <w:pPr>
        <w:jc w:val="both"/>
        <w:rPr>
          <w:rFonts w:hint="default" w:ascii="Times New Roman" w:hAnsi="Times New Roman" w:eastAsia="方正小标宋简体" w:cs="Times New Roman"/>
          <w:sz w:val="36"/>
          <w:szCs w:val="36"/>
        </w:rPr>
      </w:pPr>
      <w:bookmarkStart w:id="0" w:name="_Toc14247"/>
      <w:bookmarkStart w:id="1" w:name="_Toc10112"/>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目    录</w:t>
      </w:r>
    </w:p>
    <w:p>
      <w:pPr>
        <w:pStyle w:val="17"/>
        <w:jc w:val="both"/>
        <w:rPr>
          <w:rFonts w:hint="default" w:ascii="Times New Roman" w:hAnsi="Times New Roman" w:cs="Times New Roman"/>
        </w:rPr>
      </w:pPr>
    </w:p>
    <w:p>
      <w:pPr>
        <w:pStyle w:val="13"/>
        <w:jc w:val="both"/>
        <w:rPr>
          <w:rFonts w:hint="default" w:ascii="Times New Roman" w:hAnsi="Times New Roman" w:eastAsia="宋体" w:cs="Times New Roman"/>
          <w:kern w:val="2"/>
          <w:lang w:bidi="ar-SA"/>
        </w:rPr>
      </w:pP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"_Toc68253223" </w:instrText>
      </w:r>
      <w:r>
        <w:rPr>
          <w:rFonts w:hint="default" w:ascii="Times New Roman" w:hAnsi="Times New Roman" w:cs="Times New Roman"/>
        </w:rPr>
        <w:fldChar w:fldCharType="separate"/>
      </w:r>
      <w:r>
        <w:rPr>
          <w:rStyle w:val="22"/>
          <w:rFonts w:hint="default" w:ascii="Times New Roman" w:hAnsi="Times New Roman" w:cs="Times New Roman"/>
          <w:spacing w:val="-6"/>
        </w:rPr>
        <w:t>第一章  扛起历史使命，奋力蹚出一条高质量转型发展新路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_Toc68253223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"_Toc68253224" </w:instrText>
      </w:r>
      <w:r>
        <w:rPr>
          <w:rFonts w:hint="default" w:ascii="Times New Roman" w:hAnsi="Times New Roman" w:cs="Times New Roman"/>
        </w:rPr>
        <w:fldChar w:fldCharType="separate"/>
      </w:r>
      <w:r>
        <w:rPr>
          <w:rStyle w:val="22"/>
          <w:rFonts w:hint="default" w:ascii="Times New Roman" w:hAnsi="Times New Roman" w:eastAsia="楷体_GB2312" w:cs="Times New Roman"/>
          <w:sz w:val="30"/>
          <w:szCs w:val="30"/>
        </w:rPr>
        <w:t>第一节  发展回顾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_Toc68253224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"_Toc68253225"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第二节  发展环境</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_Toc68253225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"_Toc68253226"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指导思想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_Toc68253226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"_Toc68253227"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第四节  战略定位</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_Toc68253227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"_Toc68253228"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第五节  发展目标</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_Toc68253228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3"/>
        <w:jc w:val="both"/>
        <w:rPr>
          <w:rFonts w:hint="default" w:ascii="Times New Roman" w:hAnsi="Times New Roman" w:eastAsia="宋体" w:cs="Times New Roman"/>
          <w:kern w:val="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"_Toc68253229" </w:instrText>
      </w:r>
      <w:r>
        <w:rPr>
          <w:rFonts w:hint="default" w:ascii="Times New Roman" w:hAnsi="Times New Roman" w:cs="Times New Roman"/>
        </w:rPr>
        <w:fldChar w:fldCharType="separate"/>
      </w:r>
      <w:r>
        <w:rPr>
          <w:rStyle w:val="22"/>
          <w:rFonts w:hint="default" w:ascii="Times New Roman" w:hAnsi="Times New Roman" w:cs="Times New Roman"/>
        </w:rPr>
        <w:t>第二章  持续扩大投资消费，锻造高质量转型发展新引擎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_Toc68253229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"_Toc68253230" </w:instrText>
      </w:r>
      <w:r>
        <w:rPr>
          <w:rFonts w:hint="default" w:ascii="Times New Roman" w:hAnsi="Times New Roman" w:cs="Times New Roman"/>
        </w:rPr>
        <w:fldChar w:fldCharType="separate"/>
      </w:r>
      <w:r>
        <w:rPr>
          <w:rStyle w:val="22"/>
          <w:rFonts w:hint="default" w:ascii="Times New Roman" w:hAnsi="Times New Roman" w:eastAsia="楷体_GB2312" w:cs="Times New Roman"/>
          <w:sz w:val="30"/>
          <w:szCs w:val="30"/>
        </w:rPr>
        <w:t>第一节  全力推进招商引资</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_Toc68253230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"_Toc68253231" </w:instrText>
      </w:r>
      <w:r>
        <w:rPr>
          <w:rFonts w:hint="default" w:ascii="Times New Roman" w:hAnsi="Times New Roman" w:cs="Times New Roman"/>
        </w:rPr>
        <w:fldChar w:fldCharType="separate"/>
      </w:r>
      <w:r>
        <w:rPr>
          <w:rStyle w:val="22"/>
          <w:rFonts w:hint="default" w:ascii="Times New Roman" w:hAnsi="Times New Roman" w:eastAsia="楷体_GB2312" w:cs="Times New Roman"/>
          <w:sz w:val="30"/>
          <w:szCs w:val="30"/>
        </w:rPr>
        <w:t>第二节  深度拓展投资空间</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_Toc68253231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"_Toc68253232"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建设区域消费中心</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_Toc68253232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"_Toc68253233"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第四节  持续优化营商环境</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_Toc68253233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27</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3"/>
        <w:jc w:val="both"/>
        <w:rPr>
          <w:rFonts w:hint="default" w:ascii="Times New Roman" w:hAnsi="Times New Roman" w:eastAsia="宋体" w:cs="Times New Roman"/>
          <w:kern w:val="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"_Toc68253234" </w:instrText>
      </w:r>
      <w:r>
        <w:rPr>
          <w:rFonts w:hint="default" w:ascii="Times New Roman" w:hAnsi="Times New Roman" w:cs="Times New Roman"/>
        </w:rPr>
        <w:fldChar w:fldCharType="separate"/>
      </w:r>
      <w:r>
        <w:rPr>
          <w:rStyle w:val="22"/>
          <w:rFonts w:hint="default" w:ascii="Times New Roman" w:hAnsi="Times New Roman" w:cs="Times New Roman"/>
        </w:rPr>
        <w:t>第三章  深入实施工业强市战略，全面构建现代产业体系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_Toc68253234 \h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"_Toc68253235"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第一节  构建“六强五新”产业格局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_Toc68253235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30</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"_Toc68253236"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第二节  打造一批百亿级产业集群</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_Toc68253236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"_Toc68253237"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加快发展现代服务业</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_Toc68253237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38</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"_Toc68253238"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第四节  建设运城数字经济先行区</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_Toc68253238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40</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"_Toc68253239"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第五节  大力支持开发区发展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_Toc68253239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"_Toc68253240"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第六节  壮大企业主体群落</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_Toc68253240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3"/>
        <w:jc w:val="both"/>
        <w:rPr>
          <w:rFonts w:hint="default" w:ascii="Times New Roman" w:hAnsi="Times New Roman" w:eastAsia="宋体" w:cs="Times New Roman"/>
          <w:kern w:val="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"_Toc68253241" </w:instrText>
      </w:r>
      <w:r>
        <w:rPr>
          <w:rFonts w:hint="default" w:ascii="Times New Roman" w:hAnsi="Times New Roman" w:cs="Times New Roman"/>
        </w:rPr>
        <w:fldChar w:fldCharType="separate"/>
      </w:r>
      <w:r>
        <w:rPr>
          <w:rStyle w:val="22"/>
          <w:rFonts w:hint="default" w:ascii="Times New Roman" w:hAnsi="Times New Roman" w:cs="Times New Roman"/>
        </w:rPr>
        <w:t>第四章  深入实施乡村振兴战略，建设国家现代农业示范区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_Toc68253241 \h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"_Toc68253242"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第一节  做大做强八大农业优势基地</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_Toc68253242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46</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"_Toc68253243"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第二节  打造四大特色精深加工集群</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_Toc68253243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49</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"_Toc68253244"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提升农业发展质量和效益</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_Toc68253244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"_Toc68253245"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第四节  深入实施乡村建设行动</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_Toc68253245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"_Toc68253246"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第五节  全面深化农业农村改革</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_Toc68253246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57</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"_Toc68253247"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第六节  持续巩固脱贫攻坚成果</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_Toc68253247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60</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3"/>
        <w:jc w:val="both"/>
        <w:rPr>
          <w:rFonts w:hint="default" w:ascii="Times New Roman" w:hAnsi="Times New Roman" w:eastAsia="宋体" w:cs="Times New Roman"/>
          <w:kern w:val="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"_Toc68253248" </w:instrText>
      </w:r>
      <w:r>
        <w:rPr>
          <w:rFonts w:hint="default" w:ascii="Times New Roman" w:hAnsi="Times New Roman" w:cs="Times New Roman"/>
        </w:rPr>
        <w:fldChar w:fldCharType="separate"/>
      </w:r>
      <w:r>
        <w:rPr>
          <w:rStyle w:val="22"/>
          <w:rFonts w:hint="default" w:ascii="Times New Roman" w:hAnsi="Times New Roman" w:cs="Times New Roman"/>
        </w:rPr>
        <w:t>第五章  放大旅游资源优势，加快建设国家级旅游度假区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_Toc68253248 \h </w:instrText>
      </w:r>
      <w:r>
        <w:rPr>
          <w:rFonts w:hint="default" w:ascii="Times New Roman" w:hAnsi="Times New Roman" w:cs="Times New Roman"/>
        </w:rPr>
        <w:fldChar w:fldCharType="separate"/>
      </w:r>
      <w:r>
        <w:rPr>
          <w:rFonts w:hint="default" w:ascii="Times New Roman" w:hAnsi="Times New Roman" w:cs="Times New Roman"/>
        </w:rPr>
        <w:t>62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"_Toc68253249"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第一节  优化旅游发展格局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_Toc68253249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"_Toc68253250"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第二节  完善旅游要素链条</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_Toc68253250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66</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"_Toc68253251"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推进文化旅游深度融合</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_Toc68253251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68</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"_Toc68253252"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第四节  建设市域公共文化高地</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_Toc68253252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ind w:left="0" w:leftChars="0"/>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"_Toc68253253" </w:instrText>
      </w:r>
      <w:r>
        <w:rPr>
          <w:rFonts w:hint="default" w:ascii="Times New Roman" w:hAnsi="Times New Roman" w:cs="Times New Roman"/>
        </w:rPr>
        <w:fldChar w:fldCharType="separate"/>
      </w:r>
      <w:r>
        <w:rPr>
          <w:rStyle w:val="22"/>
          <w:rFonts w:hint="default" w:ascii="Times New Roman" w:hAnsi="Times New Roman" w:eastAsia="黑体" w:cs="Times New Roman"/>
          <w:spacing w:val="-6"/>
          <w:sz w:val="30"/>
          <w:szCs w:val="30"/>
        </w:rPr>
        <w:t>第六章  大力提升城市品质，建设中国北方美丽宜居山水城市</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_Toc68253253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"_Toc68253254"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第一节  构建新型城镇化发展格局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_Toc68253254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"_Toc68253255"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第二节  全面推进城市更新</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_Toc68253255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76</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"_Toc68253256"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推进城市治理现代化</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_Toc68253256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78</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3"/>
        <w:jc w:val="both"/>
        <w:rPr>
          <w:rFonts w:hint="default" w:ascii="Times New Roman" w:hAnsi="Times New Roman" w:eastAsia="宋体" w:cs="Times New Roman"/>
          <w:kern w:val="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"_Toc68253257" </w:instrText>
      </w:r>
      <w:r>
        <w:rPr>
          <w:rFonts w:hint="default" w:ascii="Times New Roman" w:hAnsi="Times New Roman" w:cs="Times New Roman"/>
        </w:rPr>
        <w:fldChar w:fldCharType="separate"/>
      </w:r>
      <w:r>
        <w:rPr>
          <w:rStyle w:val="22"/>
          <w:rFonts w:hint="default" w:ascii="Times New Roman" w:hAnsi="Times New Roman" w:cs="Times New Roman"/>
        </w:rPr>
        <w:t>第七章  厚植绿色发展底蕴，创建国家生态文明建设示范区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_Toc68253257 \h </w:instrText>
      </w:r>
      <w:r>
        <w:rPr>
          <w:rFonts w:hint="default" w:ascii="Times New Roman" w:hAnsi="Times New Roman" w:cs="Times New Roman"/>
        </w:rPr>
        <w:fldChar w:fldCharType="separate"/>
      </w:r>
      <w:r>
        <w:rPr>
          <w:rFonts w:hint="default" w:ascii="Times New Roman" w:hAnsi="Times New Roman" w:cs="Times New Roman"/>
        </w:rPr>
        <w:t>81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"_Toc68253258"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第一节  加强黄河流域生态保护</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_Toc68253258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"_Toc68253259"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第二节  加强伍姓湖修复治理</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_Toc68253259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84</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"_Toc68253260"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深入推进污染防治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_Toc68253260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86</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"_Toc68253261"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第四节  加快形成绿色发展和生活方式</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_Toc68253261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88</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"_Toc68253262"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第五节  健全生态文明制度体系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_Toc68253262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89</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3"/>
        <w:jc w:val="both"/>
        <w:rPr>
          <w:rFonts w:hint="default" w:ascii="Times New Roman" w:hAnsi="Times New Roman" w:eastAsia="宋体" w:cs="Times New Roman"/>
          <w:kern w:val="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"_Toc68253263" </w:instrText>
      </w:r>
      <w:r>
        <w:rPr>
          <w:rFonts w:hint="default" w:ascii="Times New Roman" w:hAnsi="Times New Roman" w:cs="Times New Roman"/>
        </w:rPr>
        <w:fldChar w:fldCharType="separate"/>
      </w:r>
      <w:r>
        <w:rPr>
          <w:rStyle w:val="22"/>
          <w:rFonts w:hint="default" w:ascii="Times New Roman" w:hAnsi="Times New Roman" w:cs="Times New Roman"/>
        </w:rPr>
        <w:t>第八章  全面深化改革创新，增强发展内生动力和活力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_Toc68253263 \h </w:instrText>
      </w:r>
      <w:r>
        <w:rPr>
          <w:rFonts w:hint="default" w:ascii="Times New Roman" w:hAnsi="Times New Roman" w:cs="Times New Roman"/>
        </w:rPr>
        <w:fldChar w:fldCharType="separate"/>
      </w:r>
      <w:r>
        <w:rPr>
          <w:rFonts w:hint="default" w:ascii="Times New Roman" w:hAnsi="Times New Roman" w:cs="Times New Roman"/>
        </w:rPr>
        <w:t>91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"_Toc68253264"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第一节  深化重点领域改革</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_Toc68253264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91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"_Toc68253265"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第二节  构建高水平开放格局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_Toc68253265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92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"_Toc68253266"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打好“六新”攻坚战</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_Toc68253266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95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"_Toc68253267"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第四节  实施科技创新工程</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_Toc68253267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98</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"_Toc68253268"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第五节  全面落实“运才兴运”</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_Toc68253268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101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3"/>
        <w:jc w:val="both"/>
        <w:rPr>
          <w:rFonts w:hint="default" w:ascii="Times New Roman" w:hAnsi="Times New Roman" w:eastAsia="宋体" w:cs="Times New Roman"/>
          <w:kern w:val="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"_Toc68253269" </w:instrText>
      </w:r>
      <w:r>
        <w:rPr>
          <w:rFonts w:hint="default" w:ascii="Times New Roman" w:hAnsi="Times New Roman" w:cs="Times New Roman"/>
        </w:rPr>
        <w:fldChar w:fldCharType="separate"/>
      </w:r>
      <w:r>
        <w:rPr>
          <w:rStyle w:val="22"/>
          <w:rFonts w:hint="default" w:ascii="Times New Roman" w:hAnsi="Times New Roman" w:cs="Times New Roman"/>
          <w:spacing w:val="-11"/>
        </w:rPr>
        <w:t>第九章  持续增进民生福祉，创造富裕幸福文明健康高品质生活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_Toc68253269 \h </w:instrText>
      </w:r>
      <w:r>
        <w:rPr>
          <w:rFonts w:hint="default" w:ascii="Times New Roman" w:hAnsi="Times New Roman" w:cs="Times New Roman"/>
        </w:rPr>
        <w:fldChar w:fldCharType="separate"/>
      </w:r>
      <w:r>
        <w:rPr>
          <w:rFonts w:hint="default" w:ascii="Times New Roman" w:hAnsi="Times New Roman" w:cs="Times New Roman"/>
        </w:rPr>
        <w:t>103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"_Toc68253270"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第一节  实施技能富民工程</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_Toc68253270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103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"_Toc68253271"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第二节  促进高质量充分就业</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_Toc68253271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104</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"_Toc68253272"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办好人民满意的教育</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_Toc68253272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105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"_Toc68253273"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第四节  提升医疗服务水平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_Toc68253273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105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"_Toc68253274"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第五节  健全社会保障体系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_Toc68253274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110</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"_Toc68253275"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第六节  加强社会综合治理</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_Toc68253275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113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3"/>
        <w:jc w:val="both"/>
        <w:rPr>
          <w:rFonts w:hint="default" w:ascii="Times New Roman" w:hAnsi="Times New Roman" w:eastAsia="宋体" w:cs="Times New Roman"/>
          <w:kern w:val="2"/>
          <w:lang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"_Toc68253276" </w:instrText>
      </w:r>
      <w:r>
        <w:rPr>
          <w:rFonts w:hint="default" w:ascii="Times New Roman" w:hAnsi="Times New Roman" w:cs="Times New Roman"/>
        </w:rPr>
        <w:fldChar w:fldCharType="separate"/>
      </w:r>
      <w:r>
        <w:rPr>
          <w:rStyle w:val="22"/>
          <w:rFonts w:hint="default" w:ascii="Times New Roman" w:hAnsi="Times New Roman" w:cs="Times New Roman"/>
        </w:rPr>
        <w:t>第十章  全面加强党的建设，筑牢高质量转型发展根本保证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_Toc68253276 \h </w:instrText>
      </w:r>
      <w:r>
        <w:rPr>
          <w:rFonts w:hint="default" w:ascii="Times New Roman" w:hAnsi="Times New Roman" w:cs="Times New Roman"/>
        </w:rPr>
        <w:fldChar w:fldCharType="separate"/>
      </w:r>
      <w:r>
        <w:rPr>
          <w:rFonts w:hint="default" w:ascii="Times New Roman" w:hAnsi="Times New Roman" w:cs="Times New Roman"/>
        </w:rPr>
        <w:t>119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"_Toc68253277"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第一节  加强党的政治建设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_Toc68253277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119</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"_Toc68253278"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第二节  加强基层组织建设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_Toc68253278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120</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"_Toc68253279"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第三节  加强干部队伍建设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_Toc68253279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120</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"_Toc68253280"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第四节  加强党风廉政建设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_Toc68253280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121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"_Toc68253281"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第五节  加强民主政治建设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_Toc68253281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121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14"/>
        <w:tabs>
          <w:tab w:val="right" w:leader="dot" w:pos="8296"/>
        </w:tabs>
        <w:jc w:val="both"/>
        <w:rPr>
          <w:rFonts w:hint="default" w:ascii="Times New Roman" w:hAnsi="Times New Roman" w:cs="Times New Roman"/>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"_Toc68253282" </w:instrText>
      </w:r>
      <w:r>
        <w:rPr>
          <w:rFonts w:hint="default" w:ascii="Times New Roman" w:hAnsi="Times New Roman" w:cs="Times New Roman"/>
        </w:rPr>
        <w:fldChar w:fldCharType="separate"/>
      </w:r>
      <w:r>
        <w:rPr>
          <w:rStyle w:val="22"/>
          <w:rFonts w:hint="default" w:ascii="Times New Roman" w:hAnsi="Times New Roman" w:eastAsia="楷体_GB2312" w:cs="Times New Roman"/>
          <w:kern w:val="0"/>
          <w:sz w:val="30"/>
          <w:szCs w:val="30"/>
          <w:lang w:bidi="en-US"/>
        </w:rPr>
        <w:t>第六节  健全规划实施机制</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_Toc68253282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122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jc w:val="both"/>
        <w:rPr>
          <w:rFonts w:ascii="Times New Roman" w:hAnsi="Times New Roman" w:cs="Times New Roman"/>
          <w:sz w:val="30"/>
          <w:szCs w:val="30"/>
        </w:rPr>
      </w:pPr>
      <w:r>
        <w:rPr>
          <w:rFonts w:hint="default" w:ascii="Times New Roman" w:hAnsi="Times New Roman" w:cs="Times New Roman"/>
          <w:sz w:val="30"/>
          <w:szCs w:val="30"/>
        </w:rPr>
        <w:fldChar w:fldCharType="end"/>
      </w:r>
    </w:p>
    <w:p>
      <w:pPr>
        <w:spacing w:beforeLines="200"/>
        <w:jc w:val="both"/>
        <w:rPr>
          <w:rFonts w:ascii="Times New Roman" w:hAnsi="Times New Roman" w:eastAsia="方正小标宋简体" w:cs="Times New Roman"/>
          <w:sz w:val="36"/>
          <w:szCs w:val="36"/>
        </w:rPr>
        <w:sectPr>
          <w:footerReference r:id="rId3" w:type="default"/>
          <w:pgSz w:w="11906" w:h="16838"/>
          <w:pgMar w:top="1440" w:right="1800" w:bottom="1440" w:left="1800" w:header="851" w:footer="992" w:gutter="0"/>
          <w:pgNumType w:start="1"/>
          <w:cols w:space="720" w:num="1"/>
          <w:docGrid w:type="lines" w:linePitch="312" w:charSpace="0"/>
        </w:sectPr>
      </w:pPr>
      <w:bookmarkStart w:id="2" w:name="_Toc14372"/>
    </w:p>
    <w:p>
      <w:pPr>
        <w:widowControl w:val="0"/>
        <w:wordWrap/>
        <w:adjustRightInd/>
        <w:snapToGrid/>
        <w:spacing w:before="313" w:beforeLines="100" w:line="240" w:lineRule="auto"/>
        <w:ind w:left="0" w:leftChars="0" w:right="0" w:firstLine="0" w:firstLineChars="0"/>
        <w:jc w:val="center"/>
        <w:textAlignment w:val="auto"/>
        <w:outlineLvl w:val="9"/>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永济市国民经济和社会发展</w:t>
      </w:r>
    </w:p>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第十四个五年规划和二〇三五年远景目标纲要</w:t>
      </w:r>
      <w:bookmarkEnd w:id="0"/>
      <w:bookmarkEnd w:id="1"/>
      <w:bookmarkEnd w:id="2"/>
    </w:p>
    <w:p>
      <w:pPr>
        <w:pStyle w:val="15"/>
        <w:widowControl w:val="0"/>
        <w:adjustRightInd w:val="0"/>
        <w:snapToGrid w:val="0"/>
        <w:spacing w:beforeLines="50" w:beforeAutospacing="0" w:afterLines="100" w:afterAutospacing="0"/>
        <w:jc w:val="center"/>
        <w:rPr>
          <w:rFonts w:ascii="Times New Roman" w:hAnsi="Times New Roman" w:eastAsia="楷体_GB2312" w:cs="Times New Roman"/>
          <w:sz w:val="36"/>
          <w:szCs w:val="36"/>
          <w:lang w:bidi="en-US"/>
        </w:rPr>
      </w:pPr>
    </w:p>
    <w:p>
      <w:pPr>
        <w:ind w:firstLine="640" w:firstLineChars="200"/>
        <w:jc w:val="both"/>
        <w:rPr>
          <w:rFonts w:ascii="Times New Roman" w:hAnsi="Times New Roman" w:eastAsia="仿宋_GB2312" w:cs="Times New Roman"/>
          <w:color w:val="000000"/>
          <w:kern w:val="0"/>
          <w:sz w:val="32"/>
          <w:szCs w:val="32"/>
          <w:lang w:bidi="en-US"/>
        </w:rPr>
      </w:pPr>
      <w:r>
        <w:rPr>
          <w:rFonts w:ascii="Times New Roman" w:hAnsi="Times New Roman" w:eastAsia="仿宋_GB2312" w:cs="Times New Roman"/>
          <w:color w:val="000000"/>
          <w:kern w:val="0"/>
          <w:sz w:val="32"/>
          <w:szCs w:val="32"/>
          <w:lang w:bidi="en-US"/>
        </w:rPr>
        <w:t>永济市国民经济和社会发展第十四个五年规划和二O三五年远景目标纲要，根据《中共永济市委关于制定国民经济和社会发展第十四个五年规划和二O三五年远景目标的建议》编制，</w:t>
      </w:r>
      <w:r>
        <w:rPr>
          <w:rFonts w:hint="eastAsia" w:ascii="Times New Roman" w:hAnsi="Times New Roman" w:eastAsia="仿宋_GB2312" w:cs="Times New Roman"/>
          <w:kern w:val="0"/>
          <w:sz w:val="32"/>
          <w:szCs w:val="32"/>
          <w:lang w:bidi="en-US"/>
        </w:rPr>
        <w:t>全面贯彻中共永济市第七次代表大会精神，</w:t>
      </w:r>
      <w:r>
        <w:rPr>
          <w:rFonts w:ascii="Times New Roman" w:hAnsi="Times New Roman" w:eastAsia="仿宋_GB2312" w:cs="Times New Roman"/>
          <w:color w:val="000000"/>
          <w:kern w:val="0"/>
          <w:sz w:val="32"/>
          <w:szCs w:val="32"/>
          <w:lang w:bidi="en-US"/>
        </w:rPr>
        <w:t>主要明确了未来五年全市经济社会发展的战略目标、主要任务和重大举措，展望2035年远景目标，是党委领导经济社会发展、政府履行职责的重要依据，是全市人民共同的行动指南，是引导市场主体行为的重要参考。</w:t>
      </w:r>
    </w:p>
    <w:p>
      <w:pPr>
        <w:spacing w:beforeLines="50" w:afterLines="50"/>
        <w:jc w:val="center"/>
        <w:outlineLvl w:val="0"/>
        <w:rPr>
          <w:rFonts w:ascii="Times New Roman" w:hAnsi="Times New Roman" w:eastAsia="黑体" w:cs="Times New Roman"/>
          <w:spacing w:val="-6"/>
          <w:sz w:val="32"/>
          <w:szCs w:val="32"/>
        </w:rPr>
      </w:pPr>
      <w:bookmarkStart w:id="3" w:name="_Toc68253223"/>
      <w:bookmarkStart w:id="4" w:name="_Toc57711626"/>
      <w:bookmarkStart w:id="5" w:name="_Toc438146401"/>
      <w:bookmarkStart w:id="6" w:name="_Toc8557"/>
      <w:bookmarkStart w:id="7" w:name="_Toc4931"/>
      <w:bookmarkStart w:id="8" w:name="_Toc67564120"/>
      <w:r>
        <w:rPr>
          <w:rFonts w:hint="eastAsia" w:ascii="Times New Roman" w:hAnsi="Times New Roman" w:eastAsia="黑体" w:cs="Times New Roman"/>
          <w:spacing w:val="-6"/>
          <w:sz w:val="32"/>
          <w:szCs w:val="32"/>
        </w:rPr>
        <w:t>第一章  扛起历史使命，奋力蹚出一条高质量转型发展新路</w:t>
      </w:r>
      <w:bookmarkEnd w:id="3"/>
      <w:bookmarkEnd w:id="4"/>
      <w:bookmarkEnd w:id="5"/>
      <w:bookmarkEnd w:id="6"/>
      <w:bookmarkEnd w:id="7"/>
      <w:bookmarkEnd w:id="8"/>
    </w:p>
    <w:p>
      <w:pPr>
        <w:ind w:firstLine="640" w:firstLineChars="200"/>
        <w:jc w:val="both"/>
        <w:rPr>
          <w:rFonts w:ascii="Times New Roman" w:hAnsi="Times New Roman" w:eastAsia="仿宋_GB2312" w:cs="Times New Roman"/>
          <w:sz w:val="32"/>
          <w:szCs w:val="32"/>
        </w:rPr>
      </w:pPr>
      <w:bookmarkStart w:id="9" w:name="_Toc438146402"/>
      <w:bookmarkStart w:id="10" w:name="_Toc434217679"/>
      <w:bookmarkStart w:id="11" w:name="_Toc435194751"/>
      <w:bookmarkStart w:id="12" w:name="_Toc433803663"/>
      <w:r>
        <w:rPr>
          <w:rFonts w:ascii="Times New Roman" w:hAnsi="Times New Roman" w:eastAsia="仿宋_GB2312" w:cs="Times New Roman"/>
          <w:color w:val="000000"/>
          <w:kern w:val="0"/>
          <w:sz w:val="32"/>
          <w:szCs w:val="32"/>
          <w:lang w:bidi="en-US"/>
        </w:rPr>
        <w:t>“十四五”时期是我市全面推动习近平总书记视察山西重要讲话重要指示、全面落实省委“四为四高两同步”总体思路和要求在永济落地生根、结出硕果，乘势而上开启全面建设社会主义现代化</w:t>
      </w:r>
      <w:r>
        <w:rPr>
          <w:rFonts w:hint="eastAsia" w:ascii="Times New Roman" w:hAnsi="Times New Roman" w:eastAsia="仿宋_GB2312" w:cs="Times New Roman"/>
          <w:color w:val="000000"/>
          <w:kern w:val="0"/>
          <w:sz w:val="32"/>
          <w:szCs w:val="32"/>
          <w:lang w:eastAsia="zh-CN" w:bidi="en-US"/>
        </w:rPr>
        <w:t>国家</w:t>
      </w:r>
      <w:r>
        <w:rPr>
          <w:rFonts w:ascii="Times New Roman" w:hAnsi="Times New Roman" w:eastAsia="仿宋_GB2312" w:cs="Times New Roman"/>
          <w:color w:val="000000"/>
          <w:kern w:val="0"/>
          <w:sz w:val="32"/>
          <w:szCs w:val="32"/>
          <w:lang w:bidi="en-US"/>
        </w:rPr>
        <w:t>新征程、率先蹚出一条转型发展新路的第一个五年。必须牢记领袖嘱托，抢抓国家资源型经济转型综合配套改革试验区、能源革命综合改革试点、中部地区崛起、黄河流域生态保护和高质量发展、黄河“金三角”协同发展等重大战略和机遇，努力在危机中育新机、于变局中开新局，恒久用力、久久为功，坚定不移将转型综改进行到底，在全面建设社会主义现代化</w:t>
      </w:r>
      <w:r>
        <w:rPr>
          <w:rFonts w:hint="eastAsia" w:ascii="Times New Roman" w:hAnsi="Times New Roman" w:eastAsia="仿宋_GB2312" w:cs="Times New Roman"/>
          <w:color w:val="000000"/>
          <w:kern w:val="0"/>
          <w:sz w:val="32"/>
          <w:szCs w:val="32"/>
          <w:lang w:eastAsia="zh-CN" w:bidi="en-US"/>
        </w:rPr>
        <w:t>国家</w:t>
      </w:r>
      <w:r>
        <w:rPr>
          <w:rFonts w:ascii="Times New Roman" w:hAnsi="Times New Roman" w:eastAsia="仿宋_GB2312" w:cs="Times New Roman"/>
          <w:color w:val="000000"/>
          <w:kern w:val="0"/>
          <w:sz w:val="32"/>
          <w:szCs w:val="32"/>
          <w:lang w:bidi="en-US"/>
        </w:rPr>
        <w:t>新征程中，奋力实现转型出雏型的重要阶段性战略目标，完成好转型发展蹚新路的历史使命。</w:t>
      </w:r>
    </w:p>
    <w:p>
      <w:pPr>
        <w:spacing w:beforeLines="50" w:afterLines="50"/>
        <w:jc w:val="center"/>
        <w:outlineLvl w:val="1"/>
        <w:rPr>
          <w:rFonts w:ascii="Times New Roman" w:hAnsi="Times New Roman" w:eastAsia="楷体_GB2312" w:cs="Times New Roman"/>
          <w:sz w:val="32"/>
          <w:szCs w:val="32"/>
        </w:rPr>
      </w:pPr>
      <w:bookmarkStart w:id="13" w:name="_Toc57711627"/>
      <w:bookmarkStart w:id="14" w:name="_Toc21165"/>
      <w:bookmarkStart w:id="15" w:name="_Toc68253224"/>
      <w:bookmarkStart w:id="16" w:name="_Toc20499"/>
      <w:bookmarkStart w:id="17" w:name="_Toc67564121"/>
      <w:r>
        <w:rPr>
          <w:rFonts w:ascii="Times New Roman" w:hAnsi="Times New Roman" w:eastAsia="楷体_GB2312" w:cs="Times New Roman"/>
          <w:sz w:val="32"/>
          <w:szCs w:val="32"/>
        </w:rPr>
        <w:t xml:space="preserve">第一节  </w:t>
      </w:r>
      <w:bookmarkEnd w:id="9"/>
      <w:bookmarkEnd w:id="10"/>
      <w:bookmarkEnd w:id="11"/>
      <w:bookmarkEnd w:id="12"/>
      <w:bookmarkEnd w:id="13"/>
      <w:r>
        <w:rPr>
          <w:rFonts w:ascii="Times New Roman" w:hAnsi="Times New Roman" w:eastAsia="楷体_GB2312" w:cs="Times New Roman"/>
          <w:sz w:val="32"/>
          <w:szCs w:val="32"/>
        </w:rPr>
        <w:t>发展回顾</w:t>
      </w:r>
      <w:bookmarkEnd w:id="14"/>
      <w:bookmarkEnd w:id="15"/>
      <w:bookmarkEnd w:id="16"/>
      <w:bookmarkEnd w:id="17"/>
    </w:p>
    <w:p>
      <w:pPr>
        <w:ind w:firstLine="640" w:firstLineChars="200"/>
        <w:jc w:val="both"/>
        <w:rPr>
          <w:rFonts w:ascii="Times New Roman" w:hAnsi="Times New Roman" w:eastAsia="仿宋_GB2312" w:cs="Times New Roman"/>
          <w:color w:val="000000"/>
          <w:kern w:val="0"/>
          <w:sz w:val="32"/>
          <w:szCs w:val="32"/>
          <w:lang w:bidi="en-US"/>
        </w:rPr>
      </w:pPr>
      <w:r>
        <w:rPr>
          <w:rFonts w:ascii="Times New Roman" w:hAnsi="Times New Roman" w:eastAsia="仿宋_GB2312" w:cs="Times New Roman"/>
          <w:color w:val="000000"/>
          <w:kern w:val="0"/>
          <w:sz w:val="32"/>
          <w:szCs w:val="32"/>
          <w:lang w:bidi="en-US"/>
        </w:rPr>
        <w:t>“十三五”时期，</w:t>
      </w:r>
      <w:r>
        <w:rPr>
          <w:rFonts w:hint="eastAsia" w:ascii="仿宋_GB2312" w:hAnsi="仿宋_GB2312" w:eastAsia="仿宋_GB2312"/>
          <w:sz w:val="32"/>
          <w:szCs w:val="32"/>
        </w:rPr>
        <w:t>面对复杂多变的国际形势、艰巨繁重的改革发展任务，特别是新冠肺炎疫情的严重冲击，市委坚持以习近平新时代中国特色社会主义思想为指导，</w:t>
      </w:r>
      <w:r>
        <w:rPr>
          <w:rFonts w:ascii="Times New Roman" w:hAnsi="Times New Roman" w:eastAsia="仿宋_GB2312" w:cs="Times New Roman"/>
          <w:color w:val="000000"/>
          <w:kern w:val="0"/>
          <w:sz w:val="32"/>
          <w:szCs w:val="32"/>
          <w:lang w:bidi="en-US"/>
        </w:rPr>
        <w:t>坚持新发展理念，坚持稳中求进工作总基调，落实高质量发展要求，紧紧围绕全面建成小康社会战略布局，</w:t>
      </w:r>
      <w:r>
        <w:rPr>
          <w:rFonts w:hint="eastAsia" w:ascii="仿宋_GB2312" w:hAnsi="仿宋_GB2312" w:eastAsia="仿宋_GB2312"/>
          <w:sz w:val="32"/>
          <w:szCs w:val="32"/>
        </w:rPr>
        <w:t>团结带领全市广大党员干部群众，大力实施五大战略，全面抓好经济社会发展各项工作，全市改革发展稳定和党的建设等各项工作取得一系列新进展新成效，先后荣获国家级荣誉14项、省级荣誉11项，</w:t>
      </w:r>
      <w:r>
        <w:rPr>
          <w:rFonts w:ascii="Times New Roman" w:hAnsi="Times New Roman" w:eastAsia="仿宋_GB2312" w:cs="Times New Roman"/>
          <w:color w:val="000000"/>
          <w:kern w:val="0"/>
          <w:sz w:val="32"/>
          <w:szCs w:val="32"/>
          <w:lang w:bidi="en-US"/>
        </w:rPr>
        <w:t>经济社会发展的基础持续夯实。</w:t>
      </w:r>
    </w:p>
    <w:p>
      <w:pPr>
        <w:ind w:firstLine="643" w:firstLineChars="200"/>
        <w:jc w:val="both"/>
        <w:rPr>
          <w:rFonts w:ascii="Times New Roman" w:hAnsi="Times New Roman" w:eastAsia="仿宋_GB2312" w:cs="Times New Roman"/>
          <w:color w:val="000000"/>
          <w:kern w:val="0"/>
          <w:sz w:val="32"/>
          <w:szCs w:val="32"/>
          <w:lang w:bidi="en-US"/>
        </w:rPr>
      </w:pPr>
      <w:r>
        <w:rPr>
          <w:rFonts w:hint="eastAsia" w:ascii="仿宋" w:hAnsi="仿宋" w:eastAsia="仿宋" w:cs="仿宋"/>
          <w:b/>
          <w:bCs/>
          <w:sz w:val="32"/>
          <w:szCs w:val="32"/>
        </w:rPr>
        <w:t>经济发展动能加速转换。</w:t>
      </w:r>
      <w:r>
        <w:rPr>
          <w:rFonts w:hint="eastAsia" w:ascii="Times New Roman" w:hAnsi="Times New Roman" w:eastAsia="仿宋_GB2312" w:cs="Times New Roman"/>
          <w:color w:val="000000"/>
          <w:kern w:val="0"/>
          <w:sz w:val="32"/>
          <w:szCs w:val="32"/>
          <w:lang w:bidi="en-US"/>
        </w:rPr>
        <w:t>以构建“3+2”产业体系为抓手，打出招商引资体制机制改革、领导干部入企帮扶、成立招商引资工作专班等一系列“组合拳”，电机大功率模块生产线顺利回迁，粟海集团实现破产重整，千军铝业智能提升改造、凯通印染智能制造等一批重点项目建成投产，蓝科途锂电池隔膜、光府科技光学镀膜、穿越光电OLED发光材料等一批战略性新兴产业项目落户永济，支撑高质量转型发展的新动能正在加快形成。</w:t>
      </w:r>
    </w:p>
    <w:p>
      <w:pPr>
        <w:ind w:firstLine="643" w:firstLineChars="200"/>
        <w:jc w:val="both"/>
        <w:rPr>
          <w:rFonts w:ascii="Times New Roman" w:hAnsi="Times New Roman" w:eastAsia="仿宋_GB2312" w:cs="Times New Roman"/>
          <w:color w:val="000000"/>
          <w:kern w:val="0"/>
          <w:sz w:val="32"/>
          <w:szCs w:val="32"/>
          <w:lang w:bidi="en-US"/>
        </w:rPr>
      </w:pPr>
      <w:r>
        <w:rPr>
          <w:rFonts w:hint="eastAsia" w:ascii="仿宋" w:hAnsi="仿宋" w:eastAsia="仿宋" w:cs="仿宋"/>
          <w:b/>
          <w:bCs/>
          <w:sz w:val="32"/>
          <w:szCs w:val="32"/>
        </w:rPr>
        <w:t>现代农业发展成效显著。</w:t>
      </w:r>
      <w:r>
        <w:rPr>
          <w:rFonts w:ascii="Times New Roman" w:hAnsi="Times New Roman" w:eastAsia="仿宋_GB2312" w:cs="Times New Roman"/>
          <w:color w:val="000000"/>
          <w:sz w:val="32"/>
          <w:szCs w:val="32"/>
        </w:rPr>
        <w:t>在确保粮食安全的基础上，</w:t>
      </w:r>
      <w:r>
        <w:rPr>
          <w:rFonts w:hint="eastAsia" w:ascii="Times New Roman" w:hAnsi="Times New Roman" w:eastAsia="仿宋_GB2312" w:cs="Times New Roman"/>
          <w:color w:val="000000"/>
          <w:sz w:val="32"/>
          <w:szCs w:val="32"/>
        </w:rPr>
        <w:t>围绕农业“3355”发展思路，大力实施“特”“优”战略，积极推动农业供给侧结构性改革，农业现代化步伐不断加快。“十三五”末，全市建成农业示范园区60个，</w:t>
      </w:r>
      <w:r>
        <w:rPr>
          <w:rFonts w:ascii="Times New Roman" w:hAnsi="Times New Roman" w:eastAsia="仿宋_GB2312" w:cs="Times New Roman"/>
          <w:color w:val="000000"/>
          <w:sz w:val="32"/>
          <w:szCs w:val="32"/>
        </w:rPr>
        <w:t>干鲜果面积达到41万亩，各类农民专业合作社达到1277家，全市195个村集体收入全部达到5万元以上</w:t>
      </w:r>
      <w:r>
        <w:rPr>
          <w:rFonts w:hint="eastAsia" w:ascii="Times New Roman" w:hAnsi="Times New Roman" w:eastAsia="仿宋_GB2312" w:cs="Times New Roman"/>
          <w:color w:val="000000"/>
          <w:sz w:val="32"/>
          <w:szCs w:val="32"/>
        </w:rPr>
        <w:t>，建成北方最大的克伦生葡萄基地，渔业产量占全省三分之一，“三品一标”认证数量达49个，打造了“开张冬枣”“卿头葡萄”“蒲雪面粉”等知名品牌，先后被评为“国家渔业健康养殖示范县”“省级农产品质量安全县”，并成功入围首批全国农村一二三产业融合发展先导区、第三批国家农产品质量安全县（市）创建名单。</w:t>
      </w:r>
    </w:p>
    <w:p>
      <w:pPr>
        <w:ind w:firstLine="643" w:firstLineChars="200"/>
        <w:jc w:val="both"/>
        <w:rPr>
          <w:rFonts w:ascii="Times New Roman" w:hAnsi="Times New Roman" w:eastAsia="仿宋_GB2312" w:cs="Times New Roman"/>
          <w:color w:val="000000"/>
          <w:kern w:val="0"/>
          <w:sz w:val="32"/>
          <w:szCs w:val="32"/>
          <w:lang w:bidi="en-US"/>
        </w:rPr>
      </w:pPr>
      <w:r>
        <w:rPr>
          <w:rFonts w:hint="eastAsia" w:ascii="仿宋" w:hAnsi="仿宋" w:eastAsia="仿宋" w:cs="仿宋"/>
          <w:b/>
          <w:bCs/>
          <w:sz w:val="32"/>
          <w:szCs w:val="32"/>
        </w:rPr>
        <w:t>文化旅游融合全域提升。</w:t>
      </w:r>
      <w:r>
        <w:rPr>
          <w:rFonts w:hint="eastAsia" w:ascii="Times New Roman" w:hAnsi="Times New Roman" w:eastAsia="仿宋_GB2312" w:cs="Times New Roman"/>
          <w:color w:val="000000"/>
          <w:kern w:val="0"/>
          <w:sz w:val="32"/>
          <w:szCs w:val="32"/>
          <w:lang w:bidi="en-US"/>
        </w:rPr>
        <w:t>坚持以创建国家全域旅游示范区为抓手，积极深化国有景区体制改革，组建了鹳雀楼旅游集团；实施了神潭大峡谷三期、尧王台景区等重点工程，启动了婚礼目的地、面食文化产业园等重点项目，国家全域旅游示范区一举创建成功。扎实做好文物保护工作，新增国保单位7处。举办承办了中国农民丰收节、二青会火炬传递、2020环太原国际公路自行车赛、五老峰登山节等一系列重大活动；参加了《魅力中国城》节目竞演，荣获“全国十佳魅力城市”；联合央视录制了《中国影像方志·永济篇》《国宝档案》等节目，永济被确定为《诗意中国》永久举办地。</w:t>
      </w:r>
      <w:r>
        <w:rPr>
          <w:rFonts w:ascii="Times New Roman" w:hAnsi="Times New Roman" w:eastAsia="仿宋_GB2312" w:cs="Times New Roman"/>
          <w:color w:val="000000"/>
          <w:kern w:val="0"/>
          <w:sz w:val="32"/>
          <w:szCs w:val="32"/>
          <w:lang w:bidi="en-US"/>
        </w:rPr>
        <w:t>组建了面食集团，对外餐饮业组团发展，累计销售收入200余亿元。</w:t>
      </w:r>
    </w:p>
    <w:p>
      <w:pPr>
        <w:ind w:firstLine="630" w:firstLineChars="196"/>
        <w:jc w:val="both"/>
        <w:rPr>
          <w:rFonts w:ascii="Times New Roman" w:hAnsi="Times New Roman" w:eastAsia="仿宋_GB2312" w:cs="Times New Roman"/>
          <w:sz w:val="32"/>
          <w:szCs w:val="32"/>
        </w:rPr>
      </w:pPr>
      <w:r>
        <w:rPr>
          <w:rFonts w:hint="eastAsia" w:ascii="仿宋" w:hAnsi="仿宋" w:eastAsia="仿宋" w:cs="仿宋"/>
          <w:b/>
          <w:bCs/>
          <w:sz w:val="32"/>
          <w:szCs w:val="32"/>
        </w:rPr>
        <w:t>城乡统筹发展成就显著。</w:t>
      </w:r>
      <w:r>
        <w:rPr>
          <w:rFonts w:hint="eastAsia" w:ascii="Times New Roman" w:hAnsi="Times New Roman" w:eastAsia="仿宋_GB2312" w:cs="Times New Roman"/>
          <w:color w:val="000000"/>
          <w:sz w:val="32"/>
          <w:szCs w:val="32"/>
        </w:rPr>
        <w:t>立足建设运城副中心城市目标定位，编制了《国土空间规划》，围绕“142”城市功能布局，</w:t>
      </w:r>
      <w:r>
        <w:rPr>
          <w:rFonts w:ascii="Times New Roman" w:hAnsi="Times New Roman" w:eastAsia="仿宋_GB2312" w:cs="Times New Roman"/>
          <w:color w:val="000000"/>
          <w:sz w:val="32"/>
          <w:szCs w:val="32"/>
        </w:rPr>
        <w:t>实施“五城同创”，一批城建重点工程相继建成，</w:t>
      </w:r>
      <w:r>
        <w:rPr>
          <w:rFonts w:hint="eastAsia" w:ascii="Times New Roman" w:hAnsi="Times New Roman" w:eastAsia="仿宋_GB2312" w:cs="Times New Roman"/>
          <w:color w:val="000000"/>
          <w:sz w:val="32"/>
          <w:szCs w:val="32"/>
        </w:rPr>
        <w:t>实施了大西高铁引道、舜都大道改造、伍姓湖巡护路、沿黄旅游公路、体育中心等重点项目，城市功能日趋完善。先后被评为“国家园林城市”“全国无障碍示范城市”“省级文明城市”，荣获“全国文明城市”提名，连续22年被评为省级卫生城市。围绕“三带三型”美丽乡村发展布局，高标准打造了沿黄产业融合高质量发展等四大循环圈，建成省级美丽乡村7个</w:t>
      </w:r>
      <w:r>
        <w:rPr>
          <w:rFonts w:ascii="Times New Roman" w:hAnsi="Times New Roman" w:eastAsia="仿宋_GB2312" w:cs="Times New Roman"/>
          <w:color w:val="000000"/>
          <w:sz w:val="32"/>
          <w:szCs w:val="32"/>
        </w:rPr>
        <w:t>、运城市级美丽乡村36个，</w:t>
      </w:r>
      <w:r>
        <w:rPr>
          <w:rFonts w:hint="eastAsia" w:ascii="Times New Roman" w:hAnsi="Times New Roman" w:eastAsia="仿宋_GB2312" w:cs="Times New Roman"/>
          <w:color w:val="000000"/>
          <w:sz w:val="32"/>
          <w:szCs w:val="32"/>
        </w:rPr>
        <w:t>被评为“全国村庄清洁行动先进县市”</w:t>
      </w:r>
      <w:r>
        <w:rPr>
          <w:rFonts w:ascii="Times New Roman" w:hAnsi="Times New Roman" w:eastAsia="仿宋_GB2312" w:cs="Times New Roman"/>
          <w:color w:val="000000"/>
          <w:sz w:val="32"/>
          <w:szCs w:val="32"/>
        </w:rPr>
        <w:t>，广大群众的获得感不断增强。</w:t>
      </w:r>
    </w:p>
    <w:p>
      <w:pPr>
        <w:ind w:firstLine="630" w:firstLineChars="196"/>
        <w:jc w:val="both"/>
        <w:rPr>
          <w:rFonts w:ascii="Times New Roman" w:hAnsi="Times New Roman" w:eastAsia="仿宋_GB2312" w:cs="Times New Roman"/>
          <w:sz w:val="32"/>
          <w:szCs w:val="32"/>
        </w:rPr>
      </w:pPr>
      <w:r>
        <w:rPr>
          <w:rFonts w:hint="eastAsia" w:ascii="仿宋" w:hAnsi="仿宋" w:eastAsia="仿宋" w:cs="仿宋"/>
          <w:b/>
          <w:bCs/>
          <w:sz w:val="32"/>
          <w:szCs w:val="32"/>
        </w:rPr>
        <w:t>生态环境持续稳定好转。</w:t>
      </w:r>
      <w:r>
        <w:rPr>
          <w:rFonts w:ascii="Times New Roman" w:hAnsi="Times New Roman" w:eastAsia="仿宋_GB2312" w:cs="Times New Roman"/>
          <w:sz w:val="32"/>
          <w:szCs w:val="32"/>
        </w:rPr>
        <w:t>坚决贯彻“绿水青山就是金山银山”的发展理念，</w:t>
      </w:r>
      <w:r>
        <w:rPr>
          <w:rFonts w:hint="eastAsia" w:ascii="Times New Roman" w:hAnsi="Times New Roman" w:eastAsia="仿宋_GB2312" w:cs="Times New Roman"/>
          <w:sz w:val="32"/>
          <w:szCs w:val="32"/>
        </w:rPr>
        <w:t>坚决打赢三大污染防治攻坚战，圆满完成“煤改气”“煤改电”任务，</w:t>
      </w:r>
      <w:r>
        <w:rPr>
          <w:rFonts w:ascii="Times New Roman" w:hAnsi="Times New Roman" w:eastAsia="仿宋_GB2312" w:cs="Times New Roman"/>
          <w:sz w:val="32"/>
          <w:szCs w:val="32"/>
        </w:rPr>
        <w:t>二级以上天气达到264天，</w:t>
      </w:r>
      <w:r>
        <w:rPr>
          <w:rFonts w:hint="eastAsia" w:ascii="Times New Roman" w:hAnsi="Times New Roman" w:eastAsia="仿宋_GB2312" w:cs="Times New Roman"/>
          <w:sz w:val="32"/>
          <w:szCs w:val="32"/>
        </w:rPr>
        <w:t>涑水河入黄口、伍姓湖入湖口水生态修复工程全面完工，</w:t>
      </w:r>
      <w:r>
        <w:rPr>
          <w:rFonts w:ascii="Times New Roman" w:hAnsi="Times New Roman" w:eastAsia="仿宋_GB2312" w:cs="Times New Roman"/>
          <w:sz w:val="32"/>
          <w:szCs w:val="32"/>
        </w:rPr>
        <w:t>多年不见的白天鹅等珍稀鸟类来此栖息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积极开展国家森林城市创建，新增绿化面积22.9万平方米，</w:t>
      </w:r>
      <w:r>
        <w:rPr>
          <w:rFonts w:hint="eastAsia" w:ascii="Times New Roman" w:hAnsi="Times New Roman" w:eastAsia="仿宋_GB2312" w:cs="Times New Roman"/>
          <w:sz w:val="32"/>
          <w:szCs w:val="32"/>
        </w:rPr>
        <w:t>森林覆盖率达29.8%，</w:t>
      </w:r>
      <w:r>
        <w:rPr>
          <w:rFonts w:ascii="Times New Roman" w:hAnsi="Times New Roman" w:eastAsia="仿宋_GB2312" w:cs="Times New Roman"/>
          <w:sz w:val="32"/>
          <w:szCs w:val="32"/>
        </w:rPr>
        <w:t>绿化覆盖面积1085万平方米，绿化覆盖率达到42%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初步实现了生态美、环境美</w:t>
      </w:r>
      <w:r>
        <w:rPr>
          <w:rFonts w:hint="eastAsia" w:ascii="Times New Roman" w:hAnsi="Times New Roman" w:eastAsia="仿宋_GB2312" w:cs="Times New Roman"/>
          <w:sz w:val="32"/>
          <w:szCs w:val="32"/>
        </w:rPr>
        <w:t>，绿水青山成为永济最靓丽的名片。</w:t>
      </w:r>
    </w:p>
    <w:p>
      <w:pPr>
        <w:ind w:firstLine="630" w:firstLineChars="196"/>
        <w:jc w:val="both"/>
        <w:rPr>
          <w:rFonts w:ascii="Times New Roman" w:hAnsi="Times New Roman" w:eastAsia="仿宋_GB2312" w:cs="Times New Roman"/>
          <w:sz w:val="32"/>
          <w:szCs w:val="32"/>
        </w:rPr>
      </w:pPr>
      <w:r>
        <w:rPr>
          <w:rFonts w:hint="eastAsia" w:ascii="仿宋" w:hAnsi="仿宋" w:eastAsia="仿宋" w:cs="仿宋"/>
          <w:b/>
          <w:bCs/>
          <w:sz w:val="32"/>
          <w:szCs w:val="32"/>
        </w:rPr>
        <w:t>改革创新活力明显增强。</w:t>
      </w:r>
      <w:r>
        <w:rPr>
          <w:rFonts w:hint="eastAsia" w:ascii="Times New Roman" w:hAnsi="Times New Roman" w:eastAsia="仿宋_GB2312" w:cs="Times New Roman"/>
          <w:sz w:val="32"/>
          <w:szCs w:val="32"/>
        </w:rPr>
        <w:t>坚持“改革为要”，实施重点改革事项236项，其中32项走在全省乃至全国前列。</w:t>
      </w:r>
      <w:r>
        <w:rPr>
          <w:rFonts w:ascii="Times New Roman" w:hAnsi="Times New Roman" w:eastAsia="仿宋_GB2312" w:cs="Times New Roman"/>
          <w:sz w:val="32"/>
          <w:szCs w:val="32"/>
        </w:rPr>
        <w:t>深化开发区“三化三制”改革，探索开展管运分离，搭建了永济市大数据招商平台。深化“放管服效”改革，项目审批时间为运城市最短。积极推进“标准地”改革，在运城市率先出让了第一块“标准地”。深化农村集体产权制度改革，完成1881个集体经济组织登记赋码和发证。</w:t>
      </w:r>
      <w:r>
        <w:rPr>
          <w:rFonts w:hint="eastAsia" w:ascii="仿宋_GB2312" w:hAnsi="仿宋_GB2312" w:eastAsia="仿宋_GB2312" w:cs="仿宋_GB2312"/>
          <w:sz w:val="32"/>
          <w:szCs w:val="32"/>
        </w:rPr>
        <w:t>创新城市基层党建做法入选全国先进典型案例，市图书馆、文化馆被列为国家级、省级文化和旅游公共服务机构功能融合试点，全链条矛盾调解经验做法在全省推广，深化改革工作稳居运城第一方阵。</w:t>
      </w:r>
    </w:p>
    <w:p>
      <w:pPr>
        <w:ind w:firstLine="643" w:firstLineChars="200"/>
        <w:jc w:val="both"/>
        <w:rPr>
          <w:rFonts w:ascii="Times New Roman" w:hAnsi="Times New Roman" w:eastAsia="仿宋_GB2312" w:cs="Times New Roman"/>
          <w:sz w:val="32"/>
          <w:szCs w:val="32"/>
        </w:rPr>
      </w:pPr>
      <w:r>
        <w:rPr>
          <w:rFonts w:hint="eastAsia" w:ascii="仿宋" w:hAnsi="仿宋" w:eastAsia="仿宋" w:cs="仿宋"/>
          <w:b/>
          <w:bCs/>
          <w:sz w:val="32"/>
          <w:szCs w:val="32"/>
        </w:rPr>
        <w:t>民生社会事业全面进步。</w:t>
      </w:r>
      <w:r>
        <w:rPr>
          <w:rFonts w:hint="eastAsia" w:ascii="Times New Roman" w:hAnsi="Times New Roman" w:eastAsia="仿宋_GB2312" w:cs="Times New Roman"/>
          <w:sz w:val="32"/>
          <w:szCs w:val="32"/>
        </w:rPr>
        <w:t>坚持以人民为中心的发展理念，累计投入99.86亿元用于民生建设，占财政总支出83.65%；城镇居民和农村居民人均可支配收入比“十二五”末分别增长33.4%、45.5%。坚持精准扶贫，强化精准帮扶，所有建档立卡贫困户全部脱贫，2020年全市脱贫人口人均收入达到5500元以上。城镇登记失业率控制在4.5%以内。教育教学条件不断改善，教育信息化实现新突破，实验小学被确定为“全国中小学校长、骨干教师网络空间专项培训基地”。新建市中医医院投入运行，城北街道社区卫生服务中心被评为全国百强社区卫生服务中心。城乡居民养老保险参保率达95%以上，基本医疗保险参保率达99%。</w:t>
      </w:r>
      <w:r>
        <w:rPr>
          <w:rFonts w:ascii="Times New Roman" w:hAnsi="Times New Roman" w:eastAsia="仿宋_GB2312" w:cs="Times New Roman"/>
          <w:sz w:val="32"/>
          <w:szCs w:val="32"/>
        </w:rPr>
        <w:t>文化惠民工程扎实开展，举办舜都讲坛、幸福儿童读书会、送戏下乡等活动460余场。完成市新时代文明实践中心和融媒体中心一体化建设，市图书馆、文化馆被列为国家级、省级文化和旅游公共服务机构功能融合试点。统筹推进疫情防控和经济社会发展取得显著成效。</w:t>
      </w:r>
    </w:p>
    <w:p>
      <w:pPr>
        <w:spacing w:afterLines="50"/>
        <w:ind w:firstLine="643" w:firstLineChars="200"/>
        <w:jc w:val="both"/>
        <w:rPr>
          <w:rFonts w:ascii="Times New Roman" w:hAnsi="Times New Roman" w:eastAsia="仿宋_GB2312" w:cs="Times New Roman"/>
          <w:sz w:val="32"/>
          <w:szCs w:val="32"/>
        </w:rPr>
      </w:pPr>
      <w:r>
        <w:rPr>
          <w:rFonts w:hint="eastAsia" w:ascii="仿宋" w:hAnsi="仿宋" w:eastAsia="仿宋" w:cs="仿宋"/>
          <w:b/>
          <w:bCs/>
          <w:sz w:val="32"/>
          <w:szCs w:val="32"/>
        </w:rPr>
        <w:t>社会治理水平不断提升。</w:t>
      </w:r>
      <w:r>
        <w:rPr>
          <w:rFonts w:ascii="Times New Roman" w:hAnsi="Times New Roman" w:eastAsia="仿宋_GB2312" w:cs="Times New Roman"/>
          <w:sz w:val="32"/>
          <w:szCs w:val="32"/>
        </w:rPr>
        <w:t>平安永济、法治永济建设取得明显成效，</w:t>
      </w:r>
      <w:r>
        <w:rPr>
          <w:rFonts w:hint="eastAsia" w:ascii="Times New Roman" w:hAnsi="Times New Roman" w:eastAsia="仿宋_GB2312" w:cs="Times New Roman"/>
          <w:sz w:val="32"/>
          <w:szCs w:val="32"/>
        </w:rPr>
        <w:t>连续多年被评为“省级平安县”，荣获“全国平安建设先进县市”。</w:t>
      </w:r>
      <w:r>
        <w:rPr>
          <w:rFonts w:ascii="Times New Roman" w:hAnsi="Times New Roman" w:eastAsia="仿宋_GB2312" w:cs="Times New Roman"/>
          <w:sz w:val="32"/>
          <w:szCs w:val="32"/>
        </w:rPr>
        <w:t>深入开展“三零”单位创建，按照“六导、六治、六动、六清”总体思路，打造了20个示范点，为全市“三零”单位创建提供了示范样板。建成总面积2860平米的社会治理综合服务中心，让群众“只跑一地、只进一门、只访一次”，实现“案结事了情绪稳”目标。深入开展扫黑除恶专项斗争，社会大局和谐稳定。“雪亮工程”二期深入推进，逐步实现综治视联网全覆盖。以632个综治网格为基础，实现了“多网合一、一网统筹”。全面从严治党一以贯之，反腐败斗争取得压倒性胜利并不断巩固发展，政治生态持续向好，实现了管党治党和转型发展“两手硬”。</w:t>
      </w:r>
    </w:p>
    <w:tbl>
      <w:tblPr>
        <w:tblStyle w:val="18"/>
        <w:tblW w:w="9080"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4899"/>
        <w:gridCol w:w="884"/>
        <w:gridCol w:w="917"/>
        <w:gridCol w:w="1395"/>
        <w:gridCol w:w="98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00" w:hRule="atLeast"/>
          <w:jc w:val="center"/>
        </w:trPr>
        <w:tc>
          <w:tcPr>
            <w:tcW w:w="9080" w:type="dxa"/>
            <w:gridSpan w:val="5"/>
            <w:tcBorders>
              <w:tl2br w:val="nil"/>
              <w:tr2bl w:val="nil"/>
            </w:tcBorders>
            <w:tcMar>
              <w:top w:w="15" w:type="dxa"/>
              <w:left w:w="15" w:type="dxa"/>
              <w:right w:w="15" w:type="dxa"/>
            </w:tcMar>
            <w:vAlign w:val="center"/>
          </w:tcPr>
          <w:p>
            <w:pPr>
              <w:jc w:val="center"/>
              <w:rPr>
                <w:rFonts w:ascii="Times New Roman" w:hAnsi="Times New Roman" w:cs="Times New Roman"/>
                <w:sz w:val="28"/>
                <w:szCs w:val="28"/>
              </w:rPr>
            </w:pPr>
            <w:r>
              <w:rPr>
                <w:rFonts w:ascii="Times New Roman" w:hAnsi="Times New Roman" w:eastAsia="黑体" w:cs="Times New Roman"/>
                <w:sz w:val="28"/>
                <w:szCs w:val="28"/>
              </w:rPr>
              <w:t>表1：永济市“十三五”规划主要指标实现情况</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vMerge w:val="restart"/>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22"/>
              </w:rPr>
            </w:pPr>
            <w:r>
              <w:rPr>
                <w:rFonts w:ascii="Times New Roman" w:hAnsi="Times New Roman" w:cs="Times New Roman"/>
                <w:sz w:val="22"/>
              </w:rPr>
              <w:t>指标名称</w:t>
            </w:r>
          </w:p>
        </w:tc>
        <w:tc>
          <w:tcPr>
            <w:tcW w:w="884" w:type="dxa"/>
            <w:vMerge w:val="restart"/>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22"/>
              </w:rPr>
            </w:pPr>
            <w:r>
              <w:rPr>
                <w:rFonts w:ascii="Times New Roman" w:hAnsi="Times New Roman" w:cs="Times New Roman"/>
                <w:sz w:val="22"/>
              </w:rPr>
              <w:t>2015年</w:t>
            </w:r>
          </w:p>
        </w:tc>
        <w:tc>
          <w:tcPr>
            <w:tcW w:w="2312" w:type="dxa"/>
            <w:gridSpan w:val="2"/>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22"/>
              </w:rPr>
            </w:pPr>
            <w:r>
              <w:rPr>
                <w:rFonts w:ascii="Times New Roman" w:hAnsi="Times New Roman" w:cs="Times New Roman"/>
                <w:sz w:val="22"/>
              </w:rPr>
              <w:t>2020年</w:t>
            </w:r>
          </w:p>
        </w:tc>
        <w:tc>
          <w:tcPr>
            <w:tcW w:w="985" w:type="dxa"/>
            <w:vMerge w:val="restart"/>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22"/>
              </w:rPr>
            </w:pPr>
            <w:r>
              <w:rPr>
                <w:rFonts w:ascii="Times New Roman" w:hAnsi="Times New Roman" w:cs="Times New Roman"/>
                <w:sz w:val="22"/>
              </w:rPr>
              <w:t>属性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vMerge w:val="continue"/>
            <w:tcBorders>
              <w:tl2br w:val="nil"/>
              <w:tr2bl w:val="nil"/>
            </w:tcBorders>
            <w:tcMar>
              <w:top w:w="15" w:type="dxa"/>
              <w:left w:w="15" w:type="dxa"/>
              <w:right w:w="15" w:type="dxa"/>
            </w:tcMar>
            <w:vAlign w:val="center"/>
          </w:tcPr>
          <w:p>
            <w:pPr>
              <w:jc w:val="both"/>
              <w:rPr>
                <w:rFonts w:ascii="Times New Roman" w:hAnsi="Times New Roman" w:cs="Times New Roman"/>
                <w:sz w:val="22"/>
              </w:rPr>
            </w:pPr>
          </w:p>
        </w:tc>
        <w:tc>
          <w:tcPr>
            <w:tcW w:w="884" w:type="dxa"/>
            <w:vMerge w:val="continue"/>
            <w:tcBorders>
              <w:tl2br w:val="nil"/>
              <w:tr2bl w:val="nil"/>
            </w:tcBorders>
            <w:tcMar>
              <w:top w:w="15" w:type="dxa"/>
              <w:left w:w="15" w:type="dxa"/>
              <w:right w:w="15" w:type="dxa"/>
            </w:tcMar>
            <w:vAlign w:val="center"/>
          </w:tcPr>
          <w:p>
            <w:pPr>
              <w:jc w:val="both"/>
              <w:rPr>
                <w:rFonts w:ascii="Times New Roman" w:hAnsi="Times New Roman" w:cs="Times New Roman"/>
                <w:sz w:val="22"/>
              </w:rPr>
            </w:pPr>
          </w:p>
        </w:tc>
        <w:tc>
          <w:tcPr>
            <w:tcW w:w="917"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22"/>
              </w:rPr>
            </w:pPr>
            <w:r>
              <w:rPr>
                <w:rFonts w:ascii="Times New Roman" w:hAnsi="Times New Roman" w:cs="Times New Roman"/>
                <w:sz w:val="22"/>
              </w:rPr>
              <w:t>完成</w:t>
            </w:r>
          </w:p>
        </w:tc>
        <w:tc>
          <w:tcPr>
            <w:tcW w:w="139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22"/>
              </w:rPr>
            </w:pPr>
            <w:r>
              <w:rPr>
                <w:rFonts w:ascii="Times New Roman" w:hAnsi="Times New Roman" w:cs="Times New Roman"/>
                <w:sz w:val="22"/>
              </w:rPr>
              <w:t>年均增长(%)</w:t>
            </w:r>
          </w:p>
        </w:tc>
        <w:tc>
          <w:tcPr>
            <w:tcW w:w="985" w:type="dxa"/>
            <w:vMerge w:val="continue"/>
            <w:tcBorders>
              <w:tl2br w:val="nil"/>
              <w:tr2bl w:val="nil"/>
            </w:tcBorders>
            <w:tcMar>
              <w:top w:w="15" w:type="dxa"/>
              <w:left w:w="15" w:type="dxa"/>
              <w:right w:w="15" w:type="dxa"/>
            </w:tcMar>
            <w:vAlign w:val="center"/>
          </w:tcPr>
          <w:p>
            <w:pPr>
              <w:jc w:val="both"/>
              <w:rPr>
                <w:rFonts w:ascii="Times New Roman" w:hAnsi="Times New Roman" w:cs="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9080" w:type="dxa"/>
            <w:gridSpan w:val="5"/>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一、经济发展（6项）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1.国内生产总值（GDP）（亿元）</w:t>
            </w:r>
          </w:p>
        </w:tc>
        <w:tc>
          <w:tcPr>
            <w:tcW w:w="884" w:type="dxa"/>
            <w:tcBorders>
              <w:tl2br w:val="nil"/>
              <w:tr2bl w:val="nil"/>
            </w:tcBorders>
            <w:tcMar>
              <w:top w:w="15" w:type="dxa"/>
              <w:left w:w="15" w:type="dxa"/>
              <w:right w:w="15" w:type="dxa"/>
            </w:tcMar>
            <w:vAlign w:val="bottom"/>
          </w:tcPr>
          <w:p>
            <w:pPr>
              <w:jc w:val="right"/>
              <w:textAlignment w:val="center"/>
              <w:rPr>
                <w:rFonts w:ascii="Times New Roman" w:hAnsi="Times New Roman" w:cs="Times New Roman"/>
                <w:sz w:val="18"/>
                <w:szCs w:val="18"/>
              </w:rPr>
            </w:pPr>
            <w:r>
              <w:rPr>
                <w:rFonts w:ascii="Times New Roman" w:hAnsi="Times New Roman" w:cs="Times New Roman"/>
                <w:sz w:val="18"/>
                <w:szCs w:val="18"/>
              </w:rPr>
              <w:t>133.11</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128.3</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1.1</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9080" w:type="dxa"/>
            <w:gridSpan w:val="5"/>
            <w:tcBorders>
              <w:tl2br w:val="nil"/>
              <w:tr2bl w:val="nil"/>
            </w:tcBorders>
            <w:tcMar>
              <w:top w:w="15" w:type="dxa"/>
              <w:left w:w="15" w:type="dxa"/>
              <w:right w:w="15" w:type="dxa"/>
            </w:tcMar>
            <w:vAlign w:val="center"/>
          </w:tcPr>
          <w:p>
            <w:pPr>
              <w:jc w:val="left"/>
              <w:textAlignment w:val="center"/>
              <w:rPr>
                <w:rFonts w:ascii="Times New Roman" w:hAnsi="Times New Roman" w:cs="Times New Roman"/>
                <w:sz w:val="18"/>
                <w:szCs w:val="18"/>
              </w:rPr>
            </w:pPr>
            <w:r>
              <w:rPr>
                <w:rFonts w:ascii="Times New Roman" w:hAnsi="Times New Roman" w:cs="Times New Roman"/>
                <w:sz w:val="18"/>
                <w:szCs w:val="18"/>
              </w:rPr>
              <w:t>2.城镇化率（%）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常住人口城镇化率（%）</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48.9</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hint="eastAsia" w:ascii="Times New Roman" w:hAnsi="Times New Roman" w:cs="Times New Roman"/>
                <w:sz w:val="18"/>
                <w:szCs w:val="18"/>
              </w:rPr>
              <w:t>52</w:t>
            </w:r>
          </w:p>
        </w:tc>
        <w:tc>
          <w:tcPr>
            <w:tcW w:w="1395"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户籍人口城镇化率（%）</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32.0</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p>
        </w:tc>
        <w:tc>
          <w:tcPr>
            <w:tcW w:w="1395"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37" w:hRule="atLeast"/>
          <w:jc w:val="center"/>
        </w:trPr>
        <w:tc>
          <w:tcPr>
            <w:tcW w:w="4899" w:type="dxa"/>
            <w:tcBorders>
              <w:tl2br w:val="nil"/>
              <w:tr2bl w:val="nil"/>
            </w:tcBorders>
            <w:tcMar>
              <w:top w:w="15" w:type="dxa"/>
              <w:left w:w="15" w:type="dxa"/>
              <w:right w:w="15" w:type="dxa"/>
            </w:tcMar>
            <w:vAlign w:val="bottom"/>
          </w:tcPr>
          <w:p>
            <w:pPr>
              <w:jc w:val="both"/>
              <w:textAlignment w:val="center"/>
              <w:rPr>
                <w:rFonts w:ascii="Times New Roman" w:hAnsi="Times New Roman" w:cs="Times New Roman"/>
                <w:sz w:val="18"/>
                <w:szCs w:val="18"/>
              </w:rPr>
            </w:pPr>
            <w:r>
              <w:rPr>
                <w:rFonts w:ascii="Times New Roman" w:hAnsi="Times New Roman" w:cs="Times New Roman"/>
                <w:sz w:val="18"/>
                <w:szCs w:val="18"/>
              </w:rPr>
              <w:t>3.财政总收入（亿元）</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10.0068</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8.1857</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2.9</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bottom"/>
          </w:tcPr>
          <w:p>
            <w:pPr>
              <w:jc w:val="both"/>
              <w:textAlignment w:val="center"/>
              <w:rPr>
                <w:rFonts w:ascii="Times New Roman" w:hAnsi="Times New Roman" w:cs="Times New Roman"/>
                <w:sz w:val="18"/>
                <w:szCs w:val="18"/>
              </w:rPr>
            </w:pPr>
            <w:r>
              <w:rPr>
                <w:rFonts w:ascii="Times New Roman" w:hAnsi="Times New Roman" w:cs="Times New Roman"/>
                <w:sz w:val="18"/>
                <w:szCs w:val="18"/>
              </w:rPr>
              <w:t>4.一般公共预算收入（亿元）</w:t>
            </w:r>
          </w:p>
        </w:tc>
        <w:tc>
          <w:tcPr>
            <w:tcW w:w="884" w:type="dxa"/>
            <w:tcBorders>
              <w:tl2br w:val="nil"/>
              <w:tr2bl w:val="nil"/>
            </w:tcBorders>
            <w:tcMar>
              <w:top w:w="15" w:type="dxa"/>
              <w:left w:w="15" w:type="dxa"/>
              <w:right w:w="15" w:type="dxa"/>
            </w:tcMar>
            <w:vAlign w:val="center"/>
          </w:tcPr>
          <w:p>
            <w:pPr>
              <w:ind w:firstLine="180" w:firstLineChars="100"/>
              <w:jc w:val="right"/>
              <w:textAlignment w:val="center"/>
              <w:rPr>
                <w:rFonts w:ascii="Times New Roman" w:hAnsi="Times New Roman" w:cs="Times New Roman"/>
                <w:sz w:val="18"/>
                <w:szCs w:val="18"/>
              </w:rPr>
            </w:pPr>
            <w:r>
              <w:rPr>
                <w:rFonts w:ascii="Times New Roman" w:hAnsi="Times New Roman" w:cs="Times New Roman"/>
                <w:sz w:val="18"/>
                <w:szCs w:val="18"/>
              </w:rPr>
              <w:t>4.06</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5.0152</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3.4</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bottom"/>
          </w:tcPr>
          <w:p>
            <w:pPr>
              <w:jc w:val="both"/>
              <w:rPr>
                <w:rFonts w:ascii="Times New Roman" w:hAnsi="Times New Roman" w:cs="Times New Roman"/>
                <w:sz w:val="18"/>
                <w:szCs w:val="18"/>
              </w:rPr>
            </w:pPr>
            <w:r>
              <w:rPr>
                <w:rFonts w:ascii="Times New Roman" w:hAnsi="Times New Roman" w:cs="Times New Roman"/>
                <w:sz w:val="18"/>
                <w:szCs w:val="18"/>
              </w:rPr>
              <w:t>5.服务业增加值比重（%）</w:t>
            </w:r>
          </w:p>
        </w:tc>
        <w:tc>
          <w:tcPr>
            <w:tcW w:w="884" w:type="dxa"/>
            <w:tcBorders>
              <w:tl2br w:val="nil"/>
              <w:tr2bl w:val="nil"/>
            </w:tcBorders>
            <w:tcMar>
              <w:top w:w="15" w:type="dxa"/>
              <w:left w:w="15" w:type="dxa"/>
              <w:right w:w="15" w:type="dxa"/>
            </w:tcMar>
            <w:vAlign w:val="bottom"/>
          </w:tcPr>
          <w:p>
            <w:pPr>
              <w:jc w:val="right"/>
              <w:rPr>
                <w:rFonts w:ascii="Times New Roman" w:hAnsi="Times New Roman" w:cs="Times New Roman"/>
                <w:sz w:val="18"/>
                <w:szCs w:val="18"/>
              </w:rPr>
            </w:pPr>
            <w:r>
              <w:rPr>
                <w:rFonts w:ascii="Times New Roman" w:hAnsi="Times New Roman" w:cs="Times New Roman"/>
                <w:sz w:val="18"/>
                <w:szCs w:val="18"/>
              </w:rPr>
              <w:t>33</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49.8</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6.外贸进出口总额（万美元）</w:t>
            </w:r>
          </w:p>
        </w:tc>
        <w:tc>
          <w:tcPr>
            <w:tcW w:w="884" w:type="dxa"/>
            <w:tcBorders>
              <w:tl2br w:val="nil"/>
              <w:tr2bl w:val="nil"/>
            </w:tcBorders>
            <w:tcMar>
              <w:top w:w="15" w:type="dxa"/>
              <w:left w:w="15" w:type="dxa"/>
              <w:right w:w="15" w:type="dxa"/>
            </w:tcMar>
            <w:vAlign w:val="bottom"/>
          </w:tcPr>
          <w:p>
            <w:pPr>
              <w:jc w:val="right"/>
              <w:textAlignment w:val="center"/>
              <w:rPr>
                <w:rFonts w:ascii="Times New Roman" w:hAnsi="Times New Roman" w:cs="Times New Roman"/>
                <w:sz w:val="18"/>
                <w:szCs w:val="18"/>
              </w:rPr>
            </w:pPr>
            <w:r>
              <w:rPr>
                <w:rFonts w:ascii="Times New Roman" w:hAnsi="Times New Roman" w:cs="Times New Roman"/>
                <w:sz w:val="18"/>
                <w:szCs w:val="18"/>
              </w:rPr>
              <w:t>5904</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21.86</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9080" w:type="dxa"/>
            <w:gridSpan w:val="5"/>
            <w:tcBorders>
              <w:tl2br w:val="nil"/>
              <w:tr2bl w:val="nil"/>
            </w:tcBorders>
            <w:tcMar>
              <w:top w:w="15" w:type="dxa"/>
              <w:left w:w="15" w:type="dxa"/>
              <w:right w:w="15" w:type="dxa"/>
            </w:tcMar>
            <w:vAlign w:val="center"/>
          </w:tcPr>
          <w:p>
            <w:pPr>
              <w:jc w:val="left"/>
              <w:textAlignment w:val="center"/>
              <w:rPr>
                <w:rFonts w:ascii="Times New Roman" w:hAnsi="Times New Roman" w:cs="Times New Roman"/>
                <w:sz w:val="18"/>
                <w:szCs w:val="18"/>
              </w:rPr>
            </w:pPr>
            <w:r>
              <w:rPr>
                <w:rFonts w:ascii="Times New Roman" w:hAnsi="Times New Roman" w:cs="Times New Roman"/>
                <w:sz w:val="18"/>
                <w:szCs w:val="18"/>
              </w:rPr>
              <w:t>二、创新驱动（4项）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7.研究与试验发展（R&amp;D)经费投入强度（%）</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1</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1.4</w:t>
            </w:r>
          </w:p>
        </w:tc>
        <w:tc>
          <w:tcPr>
            <w:tcW w:w="1395"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8.每万人口发明专利拥有量（件）</w:t>
            </w:r>
          </w:p>
        </w:tc>
        <w:tc>
          <w:tcPr>
            <w:tcW w:w="884" w:type="dxa"/>
            <w:tcBorders>
              <w:tl2br w:val="nil"/>
              <w:tr2bl w:val="nil"/>
            </w:tcBorders>
            <w:tcMar>
              <w:top w:w="15" w:type="dxa"/>
              <w:left w:w="15" w:type="dxa"/>
              <w:right w:w="15" w:type="dxa"/>
            </w:tcMar>
            <w:vAlign w:val="bottom"/>
          </w:tcPr>
          <w:p>
            <w:pPr>
              <w:jc w:val="right"/>
              <w:textAlignment w:val="center"/>
              <w:rPr>
                <w:rFonts w:ascii="Times New Roman" w:hAnsi="Times New Roman" w:cs="Times New Roman"/>
                <w:sz w:val="18"/>
                <w:szCs w:val="18"/>
              </w:rPr>
            </w:pPr>
            <w:r>
              <w:rPr>
                <w:rFonts w:ascii="Times New Roman" w:hAnsi="Times New Roman" w:cs="Times New Roman"/>
                <w:sz w:val="18"/>
                <w:szCs w:val="18"/>
              </w:rPr>
              <w:t>2.2</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p>
        </w:tc>
        <w:tc>
          <w:tcPr>
            <w:tcW w:w="1395"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9.固定宽带接入用户普及率（%）</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97</w:t>
            </w:r>
          </w:p>
        </w:tc>
        <w:tc>
          <w:tcPr>
            <w:tcW w:w="1395"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10.移动互联网用户普及率（%）</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99</w:t>
            </w:r>
          </w:p>
        </w:tc>
        <w:tc>
          <w:tcPr>
            <w:tcW w:w="1395"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9080" w:type="dxa"/>
            <w:gridSpan w:val="5"/>
            <w:tcBorders>
              <w:tl2br w:val="nil"/>
              <w:tr2bl w:val="nil"/>
            </w:tcBorders>
            <w:tcMar>
              <w:top w:w="15" w:type="dxa"/>
              <w:left w:w="15" w:type="dxa"/>
              <w:right w:w="15" w:type="dxa"/>
            </w:tcMar>
            <w:vAlign w:val="center"/>
          </w:tcPr>
          <w:p>
            <w:pPr>
              <w:jc w:val="left"/>
              <w:textAlignment w:val="center"/>
              <w:rPr>
                <w:rFonts w:ascii="Times New Roman" w:hAnsi="Times New Roman" w:cs="Times New Roman"/>
                <w:sz w:val="18"/>
                <w:szCs w:val="18"/>
              </w:rPr>
            </w:pPr>
            <w:r>
              <w:rPr>
                <w:rFonts w:ascii="Times New Roman" w:hAnsi="Times New Roman" w:cs="Times New Roman"/>
                <w:sz w:val="18"/>
                <w:szCs w:val="18"/>
              </w:rPr>
              <w:t>三、城乡发展（5项）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11.中心城区建设用地规模（平方公里）</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 xml:space="preserve">23.04 </w:t>
            </w:r>
          </w:p>
        </w:tc>
        <w:tc>
          <w:tcPr>
            <w:tcW w:w="917"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25.78</w:t>
            </w:r>
          </w:p>
        </w:tc>
        <w:tc>
          <w:tcPr>
            <w:tcW w:w="1395"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12.建成区常住人口（万人）</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16.9</w:t>
            </w:r>
          </w:p>
        </w:tc>
        <w:tc>
          <w:tcPr>
            <w:tcW w:w="917"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p>
        </w:tc>
        <w:tc>
          <w:tcPr>
            <w:tcW w:w="1395"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bottom"/>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13.自来水普及率（%）</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97.5</w:t>
            </w:r>
          </w:p>
        </w:tc>
        <w:tc>
          <w:tcPr>
            <w:tcW w:w="917"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98.3</w:t>
            </w:r>
          </w:p>
        </w:tc>
        <w:tc>
          <w:tcPr>
            <w:tcW w:w="1395"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bottom"/>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14.燃气普及率（%）（城区）</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98</w:t>
            </w:r>
          </w:p>
        </w:tc>
        <w:tc>
          <w:tcPr>
            <w:tcW w:w="1395"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bottom"/>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15.集中供热普及率（%）</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89.1</w:t>
            </w:r>
          </w:p>
        </w:tc>
        <w:tc>
          <w:tcPr>
            <w:tcW w:w="917"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90</w:t>
            </w:r>
          </w:p>
        </w:tc>
        <w:tc>
          <w:tcPr>
            <w:tcW w:w="1395"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bottom"/>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9080" w:type="dxa"/>
            <w:gridSpan w:val="5"/>
            <w:tcBorders>
              <w:tl2br w:val="nil"/>
              <w:tr2bl w:val="nil"/>
            </w:tcBorders>
            <w:tcMar>
              <w:top w:w="15" w:type="dxa"/>
              <w:left w:w="15" w:type="dxa"/>
              <w:right w:w="15" w:type="dxa"/>
            </w:tcMar>
            <w:vAlign w:val="center"/>
          </w:tcPr>
          <w:p>
            <w:pPr>
              <w:jc w:val="left"/>
              <w:textAlignment w:val="center"/>
              <w:rPr>
                <w:rFonts w:ascii="Times New Roman" w:hAnsi="Times New Roman" w:cs="Times New Roman"/>
                <w:sz w:val="18"/>
                <w:szCs w:val="18"/>
              </w:rPr>
            </w:pPr>
            <w:r>
              <w:rPr>
                <w:rFonts w:ascii="Times New Roman" w:hAnsi="Times New Roman" w:cs="Times New Roman"/>
                <w:sz w:val="18"/>
                <w:szCs w:val="18"/>
              </w:rPr>
              <w:t>四、民生福祉（8项）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9080" w:type="dxa"/>
            <w:gridSpan w:val="5"/>
            <w:tcBorders>
              <w:tl2br w:val="nil"/>
              <w:tr2bl w:val="nil"/>
            </w:tcBorders>
            <w:tcMar>
              <w:top w:w="15" w:type="dxa"/>
              <w:left w:w="15" w:type="dxa"/>
              <w:right w:w="15" w:type="dxa"/>
            </w:tcMar>
            <w:vAlign w:val="center"/>
          </w:tcPr>
          <w:p>
            <w:pPr>
              <w:jc w:val="left"/>
              <w:textAlignment w:val="center"/>
              <w:rPr>
                <w:rFonts w:ascii="Times New Roman" w:hAnsi="Times New Roman" w:cs="Times New Roman"/>
                <w:sz w:val="18"/>
                <w:szCs w:val="18"/>
              </w:rPr>
            </w:pPr>
            <w:r>
              <w:rPr>
                <w:rFonts w:ascii="Times New Roman" w:hAnsi="Times New Roman" w:cs="Times New Roman"/>
                <w:sz w:val="18"/>
                <w:szCs w:val="18"/>
              </w:rPr>
              <w:t>16.居民人均可支配收入（元）</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城镇常住人口人均可支配收入（元）</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24921</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33251</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4.5</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农村常住人口人均可支配收入（元）</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10879</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15833</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7.4</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9080" w:type="dxa"/>
            <w:gridSpan w:val="5"/>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17.教育发展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学前三年毛入园率(%)</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97</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99.7</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高中阶段教育毛入学率（%）</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97</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99</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18.城镇新增就业人数（万人）</w:t>
            </w:r>
          </w:p>
        </w:tc>
        <w:tc>
          <w:tcPr>
            <w:tcW w:w="884" w:type="dxa"/>
            <w:tcBorders>
              <w:tl2br w:val="nil"/>
              <w:tr2bl w:val="nil"/>
            </w:tcBorders>
            <w:tcMar>
              <w:top w:w="15" w:type="dxa"/>
              <w:left w:w="15" w:type="dxa"/>
              <w:right w:w="15" w:type="dxa"/>
            </w:tcMar>
            <w:vAlign w:val="top"/>
          </w:tcPr>
          <w:p>
            <w:pPr>
              <w:jc w:val="right"/>
              <w:textAlignment w:val="center"/>
              <w:rPr>
                <w:rFonts w:ascii="Times New Roman" w:hAnsi="Times New Roman" w:cs="Times New Roman"/>
                <w:sz w:val="18"/>
                <w:szCs w:val="18"/>
              </w:rPr>
            </w:pPr>
            <w:r>
              <w:rPr>
                <w:rFonts w:ascii="Times New Roman" w:hAnsi="Times New Roman" w:cs="Times New Roman"/>
                <w:sz w:val="18"/>
                <w:szCs w:val="18"/>
              </w:rPr>
              <w:t>0.43</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0.52</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96"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19.农村贫困人口脱贫（万人）</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1.0039</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20.城镇棚户区住房改造（万套）</w:t>
            </w:r>
          </w:p>
        </w:tc>
        <w:tc>
          <w:tcPr>
            <w:tcW w:w="884" w:type="dxa"/>
            <w:tcBorders>
              <w:tl2br w:val="nil"/>
              <w:tr2bl w:val="nil"/>
            </w:tcBorders>
            <w:tcMar>
              <w:top w:w="15" w:type="dxa"/>
              <w:left w:w="15" w:type="dxa"/>
              <w:right w:w="15" w:type="dxa"/>
            </w:tcMar>
            <w:vAlign w:val="center"/>
          </w:tcPr>
          <w:p>
            <w:pPr>
              <w:jc w:val="right"/>
              <w:textAlignment w:val="center"/>
              <w:rPr>
                <w:rFonts w:ascii="Times New Roman" w:hAnsi="Times New Roman" w:cs="Times New Roman"/>
                <w:sz w:val="18"/>
                <w:szCs w:val="18"/>
              </w:rPr>
            </w:pPr>
            <w:r>
              <w:rPr>
                <w:rFonts w:ascii="Times New Roman" w:hAnsi="Times New Roman" w:cs="Times New Roman"/>
                <w:sz w:val="18"/>
                <w:szCs w:val="18"/>
              </w:rPr>
              <w:t>0.0957</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0.1171</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21.人均预期寿命（岁）</w:t>
            </w:r>
          </w:p>
        </w:tc>
        <w:tc>
          <w:tcPr>
            <w:tcW w:w="884"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75.8</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22.婴儿死亡率（‰）</w:t>
            </w:r>
          </w:p>
        </w:tc>
        <w:tc>
          <w:tcPr>
            <w:tcW w:w="884"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5.58</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top"/>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bottom"/>
          </w:tcPr>
          <w:p>
            <w:pPr>
              <w:ind w:firstLine="180" w:firstLineChars="100"/>
              <w:jc w:val="both"/>
              <w:rPr>
                <w:rFonts w:ascii="Times New Roman" w:hAnsi="Times New Roman" w:cs="Times New Roman"/>
                <w:sz w:val="18"/>
                <w:szCs w:val="18"/>
              </w:rPr>
            </w:pPr>
            <w:r>
              <w:rPr>
                <w:rFonts w:ascii="Times New Roman" w:hAnsi="Times New Roman" w:cs="Times New Roman"/>
                <w:sz w:val="18"/>
                <w:szCs w:val="18"/>
              </w:rPr>
              <w:t>孕产妇死亡率（1/10万）</w:t>
            </w:r>
          </w:p>
        </w:tc>
        <w:tc>
          <w:tcPr>
            <w:tcW w:w="884"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top"/>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98"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23.每千名老年人拥有养老床位数（张）</w:t>
            </w:r>
          </w:p>
        </w:tc>
        <w:tc>
          <w:tcPr>
            <w:tcW w:w="884"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40</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9080" w:type="dxa"/>
            <w:gridSpan w:val="5"/>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五、生态文明（8项）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24.耕地保有量(公顷)</w:t>
            </w:r>
          </w:p>
        </w:tc>
        <w:tc>
          <w:tcPr>
            <w:tcW w:w="884"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53406</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55606.65</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25.森林覆盖率（%）</w:t>
            </w:r>
          </w:p>
        </w:tc>
        <w:tc>
          <w:tcPr>
            <w:tcW w:w="884"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24.4</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hint="eastAsia" w:ascii="Times New Roman" w:hAnsi="Times New Roman" w:cs="Times New Roman"/>
                <w:sz w:val="18"/>
                <w:szCs w:val="18"/>
              </w:rPr>
              <w:t>29.8</w:t>
            </w:r>
          </w:p>
        </w:tc>
        <w:tc>
          <w:tcPr>
            <w:tcW w:w="1395"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90"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26.单位GDP能耗（2010年不变价）（吨标煤/万元）</w:t>
            </w:r>
          </w:p>
        </w:tc>
        <w:tc>
          <w:tcPr>
            <w:tcW w:w="884"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3"/>
                <w:szCs w:val="13"/>
              </w:rPr>
              <w:t>完成下达任务</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27.单位地区生产总值二氧化碳排放降低（%）</w:t>
            </w:r>
          </w:p>
        </w:tc>
        <w:tc>
          <w:tcPr>
            <w:tcW w:w="884"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3"/>
                <w:szCs w:val="13"/>
              </w:rPr>
              <w:t>完成下达任务</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28.空气质量达到二级标准的天数</w:t>
            </w:r>
          </w:p>
        </w:tc>
        <w:tc>
          <w:tcPr>
            <w:tcW w:w="884"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292</w:t>
            </w:r>
          </w:p>
        </w:tc>
        <w:tc>
          <w:tcPr>
            <w:tcW w:w="917" w:type="dxa"/>
            <w:tcBorders>
              <w:tl2br w:val="nil"/>
              <w:tr2bl w:val="nil"/>
            </w:tcBorders>
            <w:tcMar>
              <w:top w:w="15" w:type="dxa"/>
              <w:left w:w="15" w:type="dxa"/>
              <w:right w:w="15" w:type="dxa"/>
            </w:tcMar>
            <w:vAlign w:val="center"/>
          </w:tcPr>
          <w:p>
            <w:pPr>
              <w:jc w:val="right"/>
              <w:rPr>
                <w:rFonts w:ascii="Times New Roman" w:hAnsi="Times New Roman" w:cs="Times New Roman"/>
                <w:sz w:val="18"/>
                <w:szCs w:val="18"/>
              </w:rPr>
            </w:pPr>
            <w:r>
              <w:rPr>
                <w:rFonts w:ascii="Times New Roman" w:hAnsi="Times New Roman" w:cs="Times New Roman"/>
                <w:sz w:val="18"/>
                <w:szCs w:val="18"/>
              </w:rPr>
              <w:t>264</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96" w:hRule="atLeast"/>
          <w:jc w:val="center"/>
        </w:trPr>
        <w:tc>
          <w:tcPr>
            <w:tcW w:w="9080" w:type="dxa"/>
            <w:gridSpan w:val="5"/>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29.主要污染物排放总量减少（%）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二氧化硫</w:t>
            </w:r>
          </w:p>
        </w:tc>
        <w:tc>
          <w:tcPr>
            <w:tcW w:w="884"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3"/>
                <w:szCs w:val="13"/>
              </w:rPr>
              <w:t>完成下达任务</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化学需氧量</w:t>
            </w:r>
          </w:p>
        </w:tc>
        <w:tc>
          <w:tcPr>
            <w:tcW w:w="884"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3"/>
                <w:szCs w:val="13"/>
              </w:rPr>
              <w:t>完成下达任务</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氮氧化物</w:t>
            </w:r>
          </w:p>
        </w:tc>
        <w:tc>
          <w:tcPr>
            <w:tcW w:w="884"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3"/>
                <w:szCs w:val="13"/>
              </w:rPr>
              <w:t>完成下达任务</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ind w:firstLine="180" w:firstLineChars="100"/>
              <w:jc w:val="both"/>
              <w:textAlignment w:val="center"/>
              <w:rPr>
                <w:rFonts w:ascii="Times New Roman" w:hAnsi="Times New Roman" w:cs="Times New Roman"/>
                <w:sz w:val="18"/>
                <w:szCs w:val="18"/>
              </w:rPr>
            </w:pPr>
            <w:r>
              <w:rPr>
                <w:rFonts w:ascii="Times New Roman" w:hAnsi="Times New Roman" w:cs="Times New Roman"/>
                <w:sz w:val="18"/>
                <w:szCs w:val="18"/>
              </w:rPr>
              <w:t>氨氮</w:t>
            </w:r>
          </w:p>
        </w:tc>
        <w:tc>
          <w:tcPr>
            <w:tcW w:w="884"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3"/>
                <w:szCs w:val="13"/>
              </w:rPr>
              <w:t>完成下达任务</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30.城镇污水集中处理率（%）</w:t>
            </w:r>
          </w:p>
        </w:tc>
        <w:tc>
          <w:tcPr>
            <w:tcW w:w="884"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3"/>
                <w:szCs w:val="13"/>
              </w:rPr>
              <w:t>完成下达任务</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899"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8"/>
                <w:szCs w:val="18"/>
              </w:rPr>
              <w:t>31.城镇生活垃圾无害化处理率（%）</w:t>
            </w:r>
          </w:p>
        </w:tc>
        <w:tc>
          <w:tcPr>
            <w:tcW w:w="884"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both"/>
              <w:rPr>
                <w:rFonts w:ascii="Times New Roman" w:hAnsi="Times New Roman" w:cs="Times New Roman"/>
                <w:sz w:val="18"/>
                <w:szCs w:val="18"/>
              </w:rPr>
            </w:pPr>
            <w:r>
              <w:rPr>
                <w:rFonts w:ascii="Times New Roman" w:hAnsi="Times New Roman" w:cs="Times New Roman"/>
                <w:sz w:val="13"/>
                <w:szCs w:val="13"/>
              </w:rPr>
              <w:t>完成下达任务</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9080" w:type="dxa"/>
            <w:gridSpan w:val="5"/>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六、安全生产（1项）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4899" w:type="dxa"/>
            <w:tcBorders>
              <w:tl2br w:val="nil"/>
              <w:tr2bl w:val="nil"/>
            </w:tcBorders>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32.亿元地区生产总值生产安全事故死亡率（人/亿元）</w:t>
            </w:r>
          </w:p>
        </w:tc>
        <w:tc>
          <w:tcPr>
            <w:tcW w:w="884"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w:t>
            </w:r>
          </w:p>
        </w:tc>
        <w:tc>
          <w:tcPr>
            <w:tcW w:w="917"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0.015</w:t>
            </w:r>
          </w:p>
        </w:tc>
        <w:tc>
          <w:tcPr>
            <w:tcW w:w="1395" w:type="dxa"/>
            <w:tcBorders>
              <w:tl2br w:val="nil"/>
              <w:tr2bl w:val="nil"/>
            </w:tcBorders>
            <w:tcMar>
              <w:top w:w="15" w:type="dxa"/>
              <w:left w:w="15"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985" w:type="dxa"/>
            <w:tcBorders>
              <w:tl2br w:val="nil"/>
              <w:tr2bl w:val="nil"/>
            </w:tcBorders>
            <w:tcMar>
              <w:top w:w="15" w:type="dxa"/>
              <w:left w:w="15" w:type="dxa"/>
              <w:right w:w="15" w:type="dxa"/>
            </w:tcMar>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约束性</w:t>
            </w:r>
          </w:p>
        </w:tc>
      </w:tr>
    </w:tbl>
    <w:p>
      <w:pPr>
        <w:spacing w:beforeLines="50" w:afterLines="50"/>
        <w:jc w:val="both"/>
        <w:outlineLvl w:val="1"/>
        <w:rPr>
          <w:rFonts w:ascii="Times New Roman" w:hAnsi="Times New Roman" w:eastAsia="楷体_GB2312" w:cs="Times New Roman"/>
          <w:kern w:val="0"/>
          <w:sz w:val="10"/>
          <w:szCs w:val="10"/>
          <w:lang w:bidi="en-US"/>
        </w:rPr>
      </w:pPr>
      <w:bookmarkStart w:id="18" w:name="_Toc433803665"/>
      <w:bookmarkStart w:id="19" w:name="_Toc67564122"/>
      <w:bookmarkStart w:id="20" w:name="_Toc438146404"/>
      <w:bookmarkStart w:id="21" w:name="_Toc14963"/>
      <w:bookmarkStart w:id="22" w:name="_Toc31608"/>
      <w:bookmarkStart w:id="23" w:name="_Toc435194753"/>
      <w:bookmarkStart w:id="24" w:name="_Toc68253225"/>
      <w:bookmarkStart w:id="25" w:name="_Toc434217681"/>
      <w:bookmarkStart w:id="26" w:name="_Toc57711628"/>
    </w:p>
    <w:p>
      <w:pPr>
        <w:spacing w:beforeLines="50" w:afterLines="50"/>
        <w:jc w:val="center"/>
        <w:outlineLvl w:val="1"/>
        <w:rPr>
          <w:rFonts w:ascii="Times New Roman" w:hAnsi="Times New Roman" w:eastAsia="楷体_GB2312" w:cs="Times New Roman"/>
          <w:kern w:val="0"/>
          <w:sz w:val="32"/>
          <w:szCs w:val="32"/>
          <w:lang w:bidi="en-US"/>
        </w:rPr>
      </w:pPr>
      <w:r>
        <w:rPr>
          <w:rFonts w:ascii="Times New Roman" w:hAnsi="Times New Roman" w:eastAsia="楷体_GB2312" w:cs="Times New Roman"/>
          <w:kern w:val="0"/>
          <w:sz w:val="32"/>
          <w:szCs w:val="32"/>
          <w:lang w:bidi="en-US"/>
        </w:rPr>
        <w:t>第二节  发展环境</w:t>
      </w:r>
      <w:bookmarkEnd w:id="18"/>
      <w:bookmarkEnd w:id="19"/>
      <w:bookmarkEnd w:id="20"/>
      <w:bookmarkEnd w:id="21"/>
      <w:bookmarkEnd w:id="22"/>
      <w:bookmarkEnd w:id="23"/>
      <w:bookmarkEnd w:id="24"/>
      <w:bookmarkEnd w:id="25"/>
      <w:bookmarkEnd w:id="26"/>
    </w:p>
    <w:p>
      <w:pPr>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当今世界正经历百年未有之大变局，当前和今后一个时期，我国发展仍处于战略机遇期，全省发展处于深度转型期，运城市发展已进入全面提速期，我市正处于转型发展、振兴崛起的关键阶段，优势与短板同在，机遇与挑战并存。全市广大党员干部必须增强机遇意识和风险意识，保持战略定力，坚定发展信心，抓住机遇、应对挑战，趋利避害、勇往直前，奋力推动高质量转型发展。</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认清高质量转型发展面临的优势与短板，发挥优势弥补短板。</w:t>
      </w:r>
      <w:r>
        <w:rPr>
          <w:rFonts w:ascii="Times New Roman" w:hAnsi="Times New Roman" w:eastAsia="仿宋_GB2312" w:cs="Times New Roman"/>
          <w:b/>
          <w:bCs/>
          <w:sz w:val="32"/>
          <w:szCs w:val="32"/>
        </w:rPr>
        <w:t>从优势看：</w:t>
      </w:r>
      <w:r>
        <w:rPr>
          <w:rFonts w:ascii="Times New Roman" w:hAnsi="Times New Roman" w:eastAsia="仿宋_GB2312" w:cs="Times New Roman"/>
          <w:sz w:val="32"/>
          <w:szCs w:val="32"/>
        </w:rPr>
        <w:t>区位交通优势凸显，永济地处黄河金三角核心地带，是国家“一带一路”</w:t>
      </w:r>
      <w:r>
        <w:rPr>
          <w:rFonts w:hint="eastAsia" w:ascii="Times New Roman" w:hAnsi="Times New Roman" w:eastAsia="仿宋_GB2312" w:cs="Times New Roman"/>
          <w:sz w:val="32"/>
          <w:szCs w:val="32"/>
          <w:lang w:eastAsia="zh-CN"/>
        </w:rPr>
        <w:t>倡议</w:t>
      </w:r>
      <w:r>
        <w:rPr>
          <w:rFonts w:ascii="Times New Roman" w:hAnsi="Times New Roman" w:eastAsia="仿宋_GB2312" w:cs="Times New Roman"/>
          <w:sz w:val="32"/>
          <w:szCs w:val="32"/>
        </w:rPr>
        <w:t>、国家综改试验区、中原城市群、关中平原城市群的重要节点城市，承东启西，沟通南北，连陕接豫，三省通衢，公路、铁路、航空立体交通网络全面形成。文化旅游资源丰富，山水人文交相辉映，境内古迹景点星罗棋布，是中国优秀旅游城市和国家全域旅游示范区。农业生产条件得天独厚，井黄两灌，形成了粮果菜畜四大产业，现有农业产业化企业168家，其中国家级2家、省级7家、运城市级26家，是运城市龙头企业最多的县市。工业发展基础较好，共有500余家工业企业，基本构建了“3+2”产业发展格局。</w:t>
      </w:r>
      <w:r>
        <w:rPr>
          <w:rFonts w:ascii="Times New Roman" w:hAnsi="Times New Roman" w:eastAsia="仿宋_GB2312" w:cs="Times New Roman"/>
          <w:b/>
          <w:bCs/>
          <w:sz w:val="32"/>
          <w:szCs w:val="32"/>
        </w:rPr>
        <w:t>从短板看：</w:t>
      </w:r>
      <w:r>
        <w:rPr>
          <w:rFonts w:hint="eastAsia" w:eastAsia="仿宋_GB2312"/>
          <w:sz w:val="32"/>
          <w:szCs w:val="32"/>
        </w:rPr>
        <w:t>经济总量偏小，人均地区生产总值和城乡居民收入水平与全国全省还有不小差距。三次产业结构不优，工业经济比重偏低，新兴产业支撑作用尚未显现，好项目、大项目不多，转型发展任重道远。创新生态基础薄弱，营商环境不够优化，“放管服”改革还未完全到位。城镇化发展质量偏低，城镇功能尚不完善，乡村基础设施短板突出，城乡融合发展水平低，许多民生问题尚未彻底解决。</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积极把握高质量发展面临的机遇与挑战，抓住机遇应对挑战。</w:t>
      </w:r>
      <w:r>
        <w:rPr>
          <w:rFonts w:ascii="Times New Roman" w:hAnsi="Times New Roman" w:eastAsia="仿宋_GB2312" w:cs="Times New Roman"/>
          <w:b/>
          <w:bCs/>
          <w:sz w:val="32"/>
          <w:szCs w:val="32"/>
        </w:rPr>
        <w:t>从机遇看：</w:t>
      </w:r>
      <w:r>
        <w:rPr>
          <w:rFonts w:ascii="Times New Roman" w:hAnsi="Times New Roman" w:eastAsia="仿宋_GB2312" w:cs="Times New Roman"/>
          <w:sz w:val="32"/>
          <w:szCs w:val="32"/>
        </w:rPr>
        <w:t>国内大循环畅通有利于我市发挥黄河金三角承接产业转移示范区平台优势，吸引沿海发达地区产业转移，更好运用国内要素资源，为挖掘国内市场投资和消费潜力拓展了新空间。黄河流域生态保护和高质量发展、新一轮中部崛起、综改试验区等重大区域战略的实施，叠加政策利好，为我市更好发挥优势、展现作为提供了大平台。省委“四为四高两同步”总体思路和要求为永济发展指明了前进方向、提供了路径指引。运城市委“五抓一优一促”经济工作主抓手为全市高质量转型发展明确了推进路径、注入了强大动力。</w:t>
      </w:r>
      <w:r>
        <w:rPr>
          <w:rFonts w:ascii="Times New Roman" w:hAnsi="Times New Roman" w:eastAsia="仿宋_GB2312" w:cs="Times New Roman"/>
          <w:b/>
          <w:bCs/>
          <w:sz w:val="32"/>
          <w:szCs w:val="32"/>
        </w:rPr>
        <w:t>从挑战看：</w:t>
      </w:r>
      <w:r>
        <w:rPr>
          <w:rFonts w:ascii="Times New Roman" w:hAnsi="Times New Roman" w:eastAsia="仿宋_GB2312" w:cs="Times New Roman"/>
          <w:sz w:val="32"/>
          <w:szCs w:val="32"/>
        </w:rPr>
        <w:t>全球经济深度调整带来诸多不确定性，新冠肺炎疫情影响持续，国际市场低迷，对我市稳增长带来严峻考验。国内供给侧结构性改革纵深推进倒逼转型发展提速，我市面临不进则退的发展局面，改造升级传统产业、培育壮大新兴产业必须付出更为艰苦的努力。区域竞争日趋激烈，郑州、西安、太原、运城等城市“虹吸效应”愈加凸显，关中平原城市群、中原城市群、黄河金三角等周边城市呈竞相发展态势，在资金、技术、人才等方面的竞争愈发激烈，我市实现争先进位、率先发展任务艰巨。</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综合判断，“十四五”时期，永济机遇难得、挑战巨大，正处在转型发展阵痛期、结构调整攻坚期、爬坡过坎关键期，必须坚持问题导向、目标导向、结果导向，着力解决制约发展的瓶颈问题，厚植发展优势，推动产业由中低端向中高端转变、文旅资源大市向文旅经济强市转变、守护修复绿水青山向探索生态产品价值实现转变、运城副中心城市向黄河金三角重要节点城市转变，在高质量发展、高水平崛起、高标准保护、高品质生活上取得突破性进展，不断开拓永济发展新境界，实现人民幸福新期待。</w:t>
      </w:r>
    </w:p>
    <w:p>
      <w:pPr>
        <w:spacing w:beforeLines="50" w:afterLines="50"/>
        <w:jc w:val="center"/>
        <w:outlineLvl w:val="1"/>
        <w:rPr>
          <w:rFonts w:ascii="Times New Roman" w:hAnsi="Times New Roman" w:eastAsia="楷体_GB2312" w:cs="Times New Roman"/>
          <w:kern w:val="0"/>
          <w:sz w:val="32"/>
          <w:szCs w:val="32"/>
          <w:lang w:bidi="en-US"/>
        </w:rPr>
      </w:pPr>
      <w:bookmarkStart w:id="27" w:name="_Toc24085"/>
      <w:bookmarkStart w:id="28" w:name="_Toc4193"/>
      <w:bookmarkStart w:id="29" w:name="_Toc434217685"/>
      <w:bookmarkStart w:id="30" w:name="_Toc68253226"/>
      <w:bookmarkStart w:id="31" w:name="_Toc438146408"/>
      <w:bookmarkStart w:id="32" w:name="_Toc67564123"/>
      <w:bookmarkStart w:id="33" w:name="_Toc433803669"/>
      <w:bookmarkStart w:id="34" w:name="_Toc435165772"/>
      <w:bookmarkStart w:id="35" w:name="_Toc57711629"/>
      <w:r>
        <w:rPr>
          <w:rFonts w:ascii="Times New Roman" w:hAnsi="Times New Roman" w:eastAsia="楷体_GB2312" w:cs="Times New Roman"/>
          <w:kern w:val="0"/>
          <w:sz w:val="32"/>
          <w:szCs w:val="32"/>
          <w:lang w:bidi="en-US"/>
        </w:rPr>
        <w:t>第三节  指导思想</w:t>
      </w:r>
      <w:bookmarkEnd w:id="27"/>
      <w:bookmarkEnd w:id="28"/>
      <w:bookmarkEnd w:id="29"/>
      <w:bookmarkEnd w:id="30"/>
      <w:bookmarkEnd w:id="31"/>
      <w:bookmarkEnd w:id="32"/>
      <w:bookmarkEnd w:id="33"/>
      <w:bookmarkEnd w:id="34"/>
      <w:bookmarkEnd w:id="35"/>
    </w:p>
    <w:p>
      <w:pPr>
        <w:ind w:firstLine="640" w:firstLineChars="200"/>
        <w:jc w:val="both"/>
        <w:rPr>
          <w:rFonts w:ascii="Times New Roman" w:hAnsi="Times New Roman" w:eastAsia="仿宋_GB2312" w:cs="Times New Roman"/>
          <w:sz w:val="32"/>
          <w:szCs w:val="32"/>
        </w:rPr>
      </w:pP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期间，</w:t>
      </w:r>
      <w:r>
        <w:rPr>
          <w:rFonts w:hint="eastAsia" w:eastAsia="仿宋_GB2312"/>
          <w:sz w:val="32"/>
          <w:szCs w:val="32"/>
        </w:rPr>
        <w:t>永济市</w:t>
      </w:r>
      <w:r>
        <w:rPr>
          <w:rFonts w:eastAsia="仿宋_GB2312"/>
          <w:sz w:val="32"/>
          <w:szCs w:val="32"/>
        </w:rPr>
        <w:t>国民经济和社会发展的指导思想是</w:t>
      </w:r>
      <w:r>
        <w:rPr>
          <w:rFonts w:hint="eastAsia" w:eastAsia="仿宋_GB2312"/>
          <w:sz w:val="32"/>
          <w:szCs w:val="32"/>
        </w:rPr>
        <w:t>：</w:t>
      </w:r>
      <w:r>
        <w:rPr>
          <w:rFonts w:hint="eastAsia" w:ascii="黑体" w:hAnsi="黑体" w:eastAsia="黑体" w:cs="Times New Roman"/>
          <w:sz w:val="32"/>
          <w:szCs w:val="32"/>
        </w:rPr>
        <w:t>坚持以习近平新时代中国特色社会主义思想为指导，全面贯彻党的十九大和十九届二中、三中、四中、五中全会精神，深入贯彻习近平总书记视察山西重要讲话重要指示，统筹推进“五位一体”总体布局，协调推进“四个全面”战略布局，按照省委“四为四高两同步”总体思路和要求，用好“五抓一优一促”经济工作主抓手，扎实推进“六稳”“六保”“六新”，统筹做好改革发展和安全稳定工作，努力把永济建设成为“中国北方美丽宜居山水城市、黄河流域高质量转型发展先行区、国家休闲旅游度假区、国家生态文明建设示范区、国家现代农业示范区、全国轨道交通和机电制造产业集聚区”，蹚出一条具有永济特色的高质量转型发展新路，为谱写全面建设</w:t>
      </w:r>
      <w:bookmarkStart w:id="182" w:name="_GoBack"/>
      <w:bookmarkEnd w:id="182"/>
      <w:r>
        <w:rPr>
          <w:rFonts w:hint="eastAsia" w:ascii="黑体" w:hAnsi="黑体" w:eastAsia="黑体" w:cs="Times New Roman"/>
          <w:sz w:val="32"/>
          <w:szCs w:val="32"/>
        </w:rPr>
        <w:t>社会主义现代化永济篇章努力奋斗！</w:t>
      </w:r>
    </w:p>
    <w:p>
      <w:pPr>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推动“十四五”时期经济社会发展，必须坚持以下原则：</w:t>
      </w:r>
    </w:p>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——坚持党的全面领导。</w:t>
      </w:r>
      <w:r>
        <w:rPr>
          <w:rFonts w:ascii="Times New Roman" w:hAnsi="Times New Roman" w:eastAsia="仿宋_GB2312" w:cs="Times New Roman"/>
          <w:color w:val="000000"/>
          <w:sz w:val="32"/>
          <w:szCs w:val="32"/>
        </w:rPr>
        <w:t>坚定维护党中央权威和集中统一领导，始终同以习近平同志为核心的党中央保持高度一致，把党的领导贯彻到永济各领域各方面各环节。</w:t>
      </w:r>
    </w:p>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——坚持以人民为中心。</w:t>
      </w:r>
      <w:r>
        <w:rPr>
          <w:rFonts w:ascii="Times New Roman" w:hAnsi="Times New Roman" w:eastAsia="仿宋_GB2312" w:cs="Times New Roman"/>
          <w:color w:val="000000"/>
          <w:sz w:val="32"/>
          <w:szCs w:val="32"/>
        </w:rPr>
        <w:t>始终做到发展为了人民、发展依靠人民、发展成果由人民共享，创造积极向上、文明健康、幸福富裕的高品质生活，不断实现全市人民对美好生活的向往。</w:t>
      </w:r>
    </w:p>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——坚持新发展理念。</w:t>
      </w:r>
      <w:r>
        <w:rPr>
          <w:rFonts w:ascii="Times New Roman" w:hAnsi="Times New Roman" w:eastAsia="仿宋_GB2312" w:cs="Times New Roman"/>
          <w:color w:val="000000"/>
          <w:sz w:val="32"/>
          <w:szCs w:val="32"/>
        </w:rPr>
        <w:t>聚焦“六新”突破，巩固壮大实体经济根基，强化黄河流域生态保护和高质量发展，切实转变发展方式，重塑追赶超越新优势。</w:t>
      </w:r>
    </w:p>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——坚持改革开放。</w:t>
      </w:r>
      <w:r>
        <w:rPr>
          <w:rFonts w:ascii="Times New Roman" w:hAnsi="Times New Roman" w:eastAsia="仿宋_GB2312" w:cs="Times New Roman"/>
          <w:color w:val="000000"/>
          <w:sz w:val="32"/>
          <w:szCs w:val="32"/>
        </w:rPr>
        <w:t>聚焦重点领域集中攻坚，深度融入国家“一带一路”、中部崛起、黄河流域生态保护和高质量发展、京津冀协同发展等重大战略，促进黄河金三角协同发展，以更深层次的改革引领转型，以更高水平的开放促进发展。</w:t>
      </w:r>
    </w:p>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——坚持系统观念。</w:t>
      </w:r>
      <w:r>
        <w:rPr>
          <w:rFonts w:ascii="Times New Roman" w:hAnsi="Times New Roman" w:eastAsia="仿宋_GB2312" w:cs="Times New Roman"/>
          <w:color w:val="000000"/>
          <w:sz w:val="32"/>
          <w:szCs w:val="32"/>
        </w:rPr>
        <w:t>把握过程论、重点论、系统论、主体论、标准论，着力固根基、扬优势、补短板、强弱项，注重防范化解重大风险挑战，实现发展质量、结构、规模、速度、效益、安全相统一。</w:t>
      </w:r>
    </w:p>
    <w:p>
      <w:pPr>
        <w:spacing w:beforeLines="50" w:afterLines="50"/>
        <w:jc w:val="center"/>
        <w:outlineLvl w:val="1"/>
        <w:rPr>
          <w:rFonts w:ascii="Times New Roman" w:hAnsi="Times New Roman" w:eastAsia="楷体_GB2312" w:cs="Times New Roman"/>
          <w:kern w:val="0"/>
          <w:sz w:val="32"/>
          <w:szCs w:val="32"/>
          <w:lang w:bidi="en-US"/>
        </w:rPr>
      </w:pPr>
      <w:bookmarkStart w:id="36" w:name="_Toc67564124"/>
      <w:bookmarkStart w:id="37" w:name="_Toc10674"/>
      <w:bookmarkStart w:id="38" w:name="_Toc57711631"/>
      <w:bookmarkStart w:id="39" w:name="_Toc68253227"/>
      <w:bookmarkStart w:id="40" w:name="_Toc14776"/>
      <w:r>
        <w:rPr>
          <w:rFonts w:ascii="Times New Roman" w:hAnsi="Times New Roman" w:eastAsia="楷体_GB2312" w:cs="Times New Roman"/>
          <w:kern w:val="0"/>
          <w:sz w:val="32"/>
          <w:szCs w:val="32"/>
          <w:lang w:bidi="en-US"/>
        </w:rPr>
        <w:t>第四节  战略定位</w:t>
      </w:r>
      <w:bookmarkEnd w:id="36"/>
      <w:bookmarkEnd w:id="37"/>
      <w:bookmarkEnd w:id="38"/>
      <w:bookmarkEnd w:id="39"/>
      <w:bookmarkEnd w:id="40"/>
    </w:p>
    <w:p>
      <w:pPr>
        <w:spacing w:line="6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“十四五”期间，要把永济放在全球发展的视野里、放在全国发展的格局中、放在山西发展的层面上、放在运城发展的坐标中去衡量，着力强化城市建设、转型发展、生态文明、全域旅游、现代农业</w:t>
      </w:r>
      <w:r>
        <w:rPr>
          <w:rFonts w:hint="eastAsia" w:ascii="Times New Roman" w:hAnsi="Times New Roman" w:eastAsia="仿宋_GB2312" w:cs="Times New Roman"/>
          <w:sz w:val="32"/>
          <w:szCs w:val="32"/>
        </w:rPr>
        <w:t>、装备制造，</w:t>
      </w:r>
      <w:r>
        <w:rPr>
          <w:rFonts w:ascii="Times New Roman" w:hAnsi="Times New Roman" w:eastAsia="仿宋_GB2312" w:cs="Times New Roman"/>
          <w:sz w:val="32"/>
          <w:szCs w:val="32"/>
        </w:rPr>
        <w:t>打造“一城五区”。</w:t>
      </w:r>
    </w:p>
    <w:p>
      <w:pPr>
        <w:spacing w:line="62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——中国北方美丽宜居山水城市。</w:t>
      </w:r>
      <w:r>
        <w:rPr>
          <w:rFonts w:ascii="Times New Roman" w:hAnsi="Times New Roman" w:eastAsia="仿宋_GB2312" w:cs="Times New Roman"/>
          <w:sz w:val="32"/>
          <w:szCs w:val="32"/>
        </w:rPr>
        <w:t>以建设运城副中心城市为契机，以“一个尊重、五个统筹”为指引，推进以人为核心的新型城镇化，坚持人民城市为人民，树牢全生命周期理念，统筹城市规划、建设、管理，持续转变城市发展方式和运营模式，坚持高起点规划、高标准建设、高水平管理，推动建设宜居、韧性、创新、智慧、绿色、人文城市，完善“142”城市功能布局，延续舜风唐韵城市文脉，赋予现代化时尚新内涵，推动城市更新行动，让永济更加宜居宜业宜游，打造山萦水绕的生态旅游城市，成为中国北方一颗璀璨的明珠。</w:t>
      </w:r>
    </w:p>
    <w:p>
      <w:pPr>
        <w:widowControl w:val="0"/>
        <w:wordWrap/>
        <w:adjustRightInd/>
        <w:snapToGrid/>
        <w:spacing w:line="620" w:lineRule="exact"/>
        <w:ind w:left="0" w:leftChars="0" w:right="0" w:firstLine="630" w:firstLineChars="196"/>
        <w:jc w:val="both"/>
        <w:textAlignment w:val="auto"/>
        <w:outlineLvl w:val="9"/>
      </w:pPr>
      <w:r>
        <w:rPr>
          <w:rFonts w:ascii="Times New Roman" w:hAnsi="Times New Roman" w:eastAsia="仿宋_GB2312" w:cs="Times New Roman"/>
          <w:b/>
          <w:bCs/>
          <w:sz w:val="32"/>
          <w:szCs w:val="32"/>
        </w:rPr>
        <w:t>——黄河流域高质量转型发展</w:t>
      </w:r>
      <w:r>
        <w:rPr>
          <w:rFonts w:hint="eastAsia" w:ascii="Times New Roman" w:hAnsi="Times New Roman" w:eastAsia="仿宋_GB2312" w:cs="Times New Roman"/>
          <w:b/>
          <w:bCs/>
          <w:sz w:val="32"/>
          <w:szCs w:val="32"/>
        </w:rPr>
        <w:t>先行</w:t>
      </w:r>
      <w:r>
        <w:rPr>
          <w:rFonts w:ascii="Times New Roman" w:hAnsi="Times New Roman" w:eastAsia="仿宋_GB2312" w:cs="Times New Roman"/>
          <w:b/>
          <w:bCs/>
          <w:sz w:val="32"/>
          <w:szCs w:val="32"/>
        </w:rPr>
        <w:t>区。</w:t>
      </w:r>
      <w:r>
        <w:rPr>
          <w:rFonts w:ascii="Times New Roman" w:hAnsi="Times New Roman" w:eastAsia="仿宋_GB2312" w:cs="Times New Roman"/>
          <w:sz w:val="32"/>
          <w:szCs w:val="32"/>
        </w:rPr>
        <w:t>深入贯彻习近平总书记在黄河流域生态保护和高质量发展座谈会上的重要讲话精神，坚持以水定城、以水定地、以水定人、以水定产，坚持有所为、有所不为，</w:t>
      </w:r>
      <w:r>
        <w:rPr>
          <w:rFonts w:hint="eastAsia" w:ascii="Times New Roman" w:hAnsi="Times New Roman" w:eastAsia="仿宋_GB2312" w:cs="Times New Roman"/>
          <w:sz w:val="32"/>
          <w:szCs w:val="32"/>
        </w:rPr>
        <w:t>进一步丰富完善“3+2”产业体系，着力构建“六强五新”转型发展新格局，打造5个以上百亿级产业集群，筑牢我市高质量转型发展的“底盘”。</w:t>
      </w:r>
      <w:r>
        <w:rPr>
          <w:rFonts w:ascii="Times New Roman" w:hAnsi="Times New Roman" w:eastAsia="仿宋_GB2312" w:cs="Times New Roman"/>
          <w:sz w:val="32"/>
          <w:szCs w:val="32"/>
        </w:rPr>
        <w:t>推进黄河文化保护、传承和弘扬，不断提升永济文化的影响力和穿透力，努力在黄河流域高质量转型发展上蹚出一条具有永济特色的新路。</w:t>
      </w:r>
    </w:p>
    <w:p>
      <w:pPr>
        <w:widowControl w:val="0"/>
        <w:wordWrap/>
        <w:adjustRightInd/>
        <w:snapToGrid/>
        <w:spacing w:line="620" w:lineRule="exact"/>
        <w:ind w:left="0" w:leftChars="0" w:right="0" w:firstLine="643"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国家</w:t>
      </w:r>
      <w:r>
        <w:rPr>
          <w:rFonts w:ascii="Times New Roman" w:hAnsi="Times New Roman" w:eastAsia="仿宋_GB2312" w:cs="Times New Roman"/>
          <w:b/>
          <w:bCs/>
          <w:sz w:val="32"/>
          <w:szCs w:val="32"/>
        </w:rPr>
        <w:t>休闲旅游度假区。</w:t>
      </w:r>
      <w:r>
        <w:rPr>
          <w:rFonts w:ascii="Times New Roman" w:hAnsi="Times New Roman" w:eastAsia="仿宋_GB2312" w:cs="Times New Roman"/>
          <w:sz w:val="32"/>
          <w:szCs w:val="32"/>
        </w:rPr>
        <w:t>以永济入选国家全域旅游示范区为契机，优化“1332”发展布局，做强西部历史文化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东部山水休闲</w:t>
      </w:r>
      <w:r>
        <w:rPr>
          <w:rFonts w:hint="eastAsia" w:ascii="Times New Roman" w:hAnsi="Times New Roman" w:eastAsia="仿宋_GB2312" w:cs="Times New Roman"/>
          <w:sz w:val="32"/>
          <w:szCs w:val="32"/>
        </w:rPr>
        <w:t>和中部休闲康养三</w:t>
      </w:r>
      <w:r>
        <w:rPr>
          <w:rFonts w:ascii="Times New Roman" w:hAnsi="Times New Roman" w:eastAsia="仿宋_GB2312" w:cs="Times New Roman"/>
          <w:sz w:val="32"/>
          <w:szCs w:val="32"/>
        </w:rPr>
        <w:t>大旅游板块，打造精品景区、精品线路，突出黄河文化、舜帝文化、爱情文化三大核心品牌，全面推动文化旅游深度融合，全面提升旅游要素品质，形成全市人民共同参与、各行业融入其中、各部门齐抓共管局面，不断满足游客全过程、全时空的体验需求</w:t>
      </w:r>
      <w:r>
        <w:rPr>
          <w:rFonts w:hint="eastAsia" w:ascii="Times New Roman" w:hAnsi="Times New Roman" w:eastAsia="仿宋_GB2312" w:cs="Times New Roman"/>
          <w:sz w:val="32"/>
          <w:szCs w:val="32"/>
        </w:rPr>
        <w:t>，把</w:t>
      </w:r>
      <w:r>
        <w:rPr>
          <w:rFonts w:ascii="Times New Roman" w:hAnsi="Times New Roman" w:eastAsia="仿宋_GB2312" w:cs="Times New Roman"/>
          <w:kern w:val="0"/>
          <w:sz w:val="32"/>
          <w:szCs w:val="32"/>
        </w:rPr>
        <w:t>永济建成</w:t>
      </w:r>
      <w:r>
        <w:rPr>
          <w:rFonts w:hint="eastAsia" w:ascii="Times New Roman" w:hAnsi="Times New Roman" w:eastAsia="仿宋_GB2312" w:cs="Times New Roman"/>
          <w:kern w:val="0"/>
          <w:sz w:val="32"/>
          <w:szCs w:val="32"/>
        </w:rPr>
        <w:t>国家级旅游度假区</w:t>
      </w:r>
      <w:r>
        <w:rPr>
          <w:rFonts w:ascii="Times New Roman" w:hAnsi="Times New Roman" w:eastAsia="仿宋_GB2312" w:cs="Times New Roman"/>
          <w:kern w:val="0"/>
          <w:sz w:val="32"/>
          <w:szCs w:val="32"/>
        </w:rPr>
        <w:t>，努力把文化旅游产业打造成为战略性支柱产业</w:t>
      </w:r>
    </w:p>
    <w:p>
      <w:pPr>
        <w:spacing w:line="62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国家</w:t>
      </w:r>
      <w:r>
        <w:rPr>
          <w:rFonts w:ascii="Times New Roman" w:hAnsi="Times New Roman" w:eastAsia="仿宋_GB2312" w:cs="Times New Roman"/>
          <w:b/>
          <w:bCs/>
          <w:sz w:val="32"/>
          <w:szCs w:val="32"/>
        </w:rPr>
        <w:t>生态文明</w:t>
      </w:r>
      <w:r>
        <w:rPr>
          <w:rFonts w:hint="eastAsia" w:ascii="Times New Roman" w:hAnsi="Times New Roman" w:eastAsia="仿宋_GB2312" w:cs="Times New Roman"/>
          <w:b/>
          <w:bCs/>
          <w:sz w:val="32"/>
          <w:szCs w:val="32"/>
        </w:rPr>
        <w:t>建设</w:t>
      </w:r>
      <w:r>
        <w:rPr>
          <w:rFonts w:ascii="Times New Roman" w:hAnsi="Times New Roman" w:eastAsia="仿宋_GB2312" w:cs="Times New Roman"/>
          <w:b/>
          <w:bCs/>
          <w:sz w:val="32"/>
          <w:szCs w:val="32"/>
        </w:rPr>
        <w:t>示范区。</w:t>
      </w:r>
      <w:r>
        <w:rPr>
          <w:rFonts w:ascii="Times New Roman" w:hAnsi="Times New Roman" w:eastAsia="仿宋_GB2312" w:cs="Times New Roman"/>
          <w:sz w:val="32"/>
          <w:szCs w:val="32"/>
        </w:rPr>
        <w:t>牢固树立“绿水青山就是金山银山”的发展理念，加强黄河流域生态保护，加快创建国家森林城市，深入推进伍姓湖治理，聚焦深化生态文明体制改革，落实最严格的耕地保护制度、水资源管理制度、环境保护制度，建设符合主体功能定位的开发格局和资源循环利用体系，建立覆盖全社会的生态文化体系，普遍推行绿色生活方式，形成在全国可复制、可推广的典型经验和模式。</w:t>
      </w:r>
    </w:p>
    <w:p>
      <w:pPr>
        <w:spacing w:line="62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国家</w:t>
      </w:r>
      <w:r>
        <w:rPr>
          <w:rFonts w:ascii="Times New Roman" w:hAnsi="Times New Roman" w:eastAsia="仿宋_GB2312" w:cs="Times New Roman"/>
          <w:b/>
          <w:bCs/>
          <w:sz w:val="32"/>
          <w:szCs w:val="32"/>
        </w:rPr>
        <w:t>现代农业示范区。</w:t>
      </w:r>
      <w:r>
        <w:rPr>
          <w:rFonts w:ascii="Times New Roman" w:hAnsi="Times New Roman" w:eastAsia="仿宋_GB2312" w:cs="Times New Roman"/>
          <w:sz w:val="32"/>
          <w:szCs w:val="32"/>
        </w:rPr>
        <w:t>以创建全国农村一二三产业融合发展先导区、国家农产品质量安全县为牵引，巩固提升国家级渔业健康养殖示范县成果，实施农业“特”“优”战略，加强农田水利基础设施建设，做大做强八大优势基地和</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大农产品精深加工产业集群，加快推进农业产业链现代化，不断提高农业质量效益和竞争力，全面提升现代农业发展水平，创建成为国家现代农业示范区。</w:t>
      </w:r>
    </w:p>
    <w:p>
      <w:pPr>
        <w:spacing w:line="620" w:lineRule="exact"/>
        <w:ind w:firstLine="643" w:firstLineChars="200"/>
        <w:jc w:val="both"/>
        <w:rPr>
          <w:rFonts w:ascii="Times New Roman" w:hAnsi="Times New Roman" w:eastAsia="楷体_GB2312" w:cs="Times New Roman"/>
          <w:kern w:val="0"/>
          <w:sz w:val="32"/>
          <w:szCs w:val="32"/>
          <w:lang w:bidi="en-US"/>
        </w:rPr>
      </w:pPr>
      <w:r>
        <w:rPr>
          <w:rFonts w:ascii="Times New Roman" w:hAnsi="Times New Roman" w:eastAsia="仿宋_GB2312" w:cs="Times New Roman"/>
          <w:b/>
          <w:bCs/>
          <w:sz w:val="32"/>
          <w:szCs w:val="32"/>
        </w:rPr>
        <w:t>——全国轨道交通和机电制造产业集聚区。</w:t>
      </w:r>
      <w:r>
        <w:rPr>
          <w:rFonts w:ascii="Times New Roman" w:hAnsi="Times New Roman" w:eastAsia="仿宋_GB2312" w:cs="Times New Roman"/>
          <w:sz w:val="32"/>
          <w:szCs w:val="32"/>
        </w:rPr>
        <w:t>充分发挥中车永济电机公司的龙头作用，以中小微电机企业为基础，大力发展轨道交通、高铁电机、风电电机、新能源汽车电机等。通过产业联盟、配套合作等方式，加强产业融合、上下游协作，积极发展配套企业，建设产业链式集群。通过搭建共享技术平台，建立共创技术机制，加强产学研合作攻关、工业技改及“两化”融合力度，在新技术的研发、引进、应用上持续发力，全面提升永济在全国轨道交通和电机行业地位，努力把永济打造成为全国轨道交通和机电制造产业集聚区。</w:t>
      </w:r>
      <w:bookmarkStart w:id="41" w:name="_Toc57711632"/>
      <w:bookmarkStart w:id="42" w:name="_Toc28682"/>
      <w:bookmarkStart w:id="43" w:name="_Toc32438"/>
    </w:p>
    <w:p>
      <w:pPr>
        <w:spacing w:beforeLines="50" w:afterLines="50"/>
        <w:jc w:val="center"/>
        <w:outlineLvl w:val="1"/>
        <w:rPr>
          <w:rFonts w:ascii="Times New Roman" w:hAnsi="Times New Roman" w:eastAsia="楷体_GB2312" w:cs="Times New Roman"/>
          <w:kern w:val="0"/>
          <w:sz w:val="32"/>
          <w:szCs w:val="32"/>
          <w:lang w:bidi="en-US"/>
        </w:rPr>
      </w:pPr>
      <w:bookmarkStart w:id="44" w:name="_Toc68253228"/>
      <w:bookmarkStart w:id="45" w:name="_Toc67564125"/>
      <w:r>
        <w:rPr>
          <w:rFonts w:ascii="Times New Roman" w:hAnsi="Times New Roman" w:eastAsia="楷体_GB2312" w:cs="Times New Roman"/>
          <w:kern w:val="0"/>
          <w:sz w:val="32"/>
          <w:szCs w:val="32"/>
          <w:lang w:bidi="en-US"/>
        </w:rPr>
        <w:t>第五节  发展目标</w:t>
      </w:r>
      <w:bookmarkEnd w:id="41"/>
      <w:bookmarkEnd w:id="42"/>
      <w:bookmarkEnd w:id="43"/>
      <w:bookmarkEnd w:id="44"/>
      <w:bookmarkEnd w:id="45"/>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深入贯彻落实党的十九届五中全会确定的基本实现社会主义现代化的远景目标，</w:t>
      </w:r>
      <w:r>
        <w:rPr>
          <w:rFonts w:hint="eastAsia" w:ascii="Times New Roman" w:hAnsi="Times New Roman" w:eastAsia="仿宋_GB2312" w:cs="Times New Roman"/>
          <w:sz w:val="32"/>
          <w:szCs w:val="32"/>
        </w:rPr>
        <w:t>按照全省到2035年经济总量达到全国中游水平，与全国同步基本实现社会主义现代化，运城市到2035年综合实力、创新能力、开放活力、文化软实力大幅跃升，基本建成新时代现代化强市的目标要求，</w:t>
      </w:r>
      <w:r>
        <w:rPr>
          <w:rFonts w:ascii="Times New Roman" w:hAnsi="Times New Roman" w:eastAsia="仿宋_GB2312" w:cs="Times New Roman"/>
          <w:sz w:val="32"/>
          <w:szCs w:val="32"/>
        </w:rPr>
        <w:t>我市到二O三五年的远景目标是：</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在全面建成小康社会的基础上，再经过十五年的努力，全市经济实力、科技实力、综合竞争力大幅跃升，经济总量和城乡居民人均收入再上新台阶，基本实现新型工业化、信息化、城镇化、农业现代化，现代化经济体系基本建立；建设成为创新型城市，构建起协同高效、具有永济特色的现代化区域创新体系，产业基础能力和产业链现代化水平显著提高，部分主导产业进入价值链中高端，基本实现由资源依赖向创新驱动的转变；要素配置市场化改革全面深化，对外开放程度和区域合作水平显著提升，基本实现市域治理体系和治理能力现代化，基本建成法治政府、法治社会；建成文化强市、旅游强市、人才强市、健康永济，人民素质和社会文明程度达到新高度，文化软实力显著增强；生产和消费绿色化水平显著</w:t>
      </w:r>
      <w:r>
        <w:rPr>
          <w:rFonts w:hint="eastAsia" w:ascii="Times New Roman" w:hAnsi="Times New Roman" w:eastAsia="仿宋_GB2312" w:cs="Times New Roman"/>
          <w:sz w:val="32"/>
          <w:szCs w:val="32"/>
        </w:rPr>
        <w:t>提高</w:t>
      </w:r>
      <w:r>
        <w:rPr>
          <w:rFonts w:ascii="Times New Roman" w:hAnsi="Times New Roman" w:eastAsia="仿宋_GB2312" w:cs="Times New Roman"/>
          <w:sz w:val="32"/>
          <w:szCs w:val="32"/>
        </w:rPr>
        <w:t>，广泛形成绿色生产生活方式，黄河流域（永济段）生态保护和高质量发展取得显著成效，高水平建成美丽永济；人均地区生产总值大幅提高，中等收入群体显著扩大，基本公共服务实现更高水平均等化，城乡区域发展差距和居民生活水平差距显著缩小，教育现代化水平大幅提升，医疗可及性、普惠性和社会保障公平性、可持续性大幅提高；平安永济建设达到更高水平，人民生活更加美好，人的全面发展、全体人民共同富裕取得更为明显的进展。</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锚定二O三五年远景目标，聚力实现</w:t>
      </w:r>
      <w:r>
        <w:rPr>
          <w:rFonts w:hint="eastAsia" w:ascii="Times New Roman" w:hAnsi="Times New Roman" w:eastAsia="仿宋_GB2312" w:cs="Times New Roman"/>
          <w:sz w:val="32"/>
          <w:szCs w:val="32"/>
        </w:rPr>
        <w:t>全省提出的“十四五”</w:t>
      </w:r>
      <w:r>
        <w:rPr>
          <w:rFonts w:ascii="Times New Roman" w:hAnsi="Times New Roman" w:eastAsia="仿宋_GB2312" w:cs="Times New Roman"/>
          <w:sz w:val="32"/>
          <w:szCs w:val="32"/>
        </w:rPr>
        <w:t>转型出雏型的重要阶段性战略目标，</w:t>
      </w:r>
      <w:r>
        <w:rPr>
          <w:rFonts w:hint="eastAsia" w:ascii="Times New Roman" w:hAnsi="Times New Roman" w:eastAsia="仿宋_GB2312" w:cs="Times New Roman"/>
          <w:sz w:val="32"/>
          <w:szCs w:val="32"/>
        </w:rPr>
        <w:t>运城市提出的综合实力进一步增强，城市战略地位、区域竞争力和影响力稳步提升，在全国新发展格局构建中充分体现运城担当、展示运城作为的战略目标，</w:t>
      </w:r>
      <w:r>
        <w:rPr>
          <w:rFonts w:ascii="Times New Roman" w:hAnsi="Times New Roman" w:eastAsia="仿宋_GB2312" w:cs="Times New Roman"/>
          <w:sz w:val="32"/>
          <w:szCs w:val="32"/>
        </w:rPr>
        <w:t>确保</w:t>
      </w:r>
      <w:r>
        <w:rPr>
          <w:rFonts w:hint="eastAsia" w:ascii="Times New Roman" w:hAnsi="Times New Roman" w:eastAsia="仿宋_GB2312" w:cs="Times New Roman"/>
          <w:sz w:val="32"/>
          <w:szCs w:val="32"/>
        </w:rPr>
        <w:t>我市</w:t>
      </w:r>
      <w:r>
        <w:rPr>
          <w:rFonts w:ascii="Times New Roman" w:hAnsi="Times New Roman" w:eastAsia="仿宋_GB2312" w:cs="Times New Roman"/>
          <w:sz w:val="32"/>
          <w:szCs w:val="32"/>
        </w:rPr>
        <w:t>到2035年与全国、全省、</w:t>
      </w:r>
      <w:r>
        <w:rPr>
          <w:rFonts w:hint="eastAsia" w:ascii="Times New Roman" w:hAnsi="Times New Roman" w:eastAsia="仿宋_GB2312" w:cs="Times New Roman"/>
          <w:sz w:val="32"/>
          <w:szCs w:val="32"/>
        </w:rPr>
        <w:t>运城</w:t>
      </w:r>
      <w:r>
        <w:rPr>
          <w:rFonts w:ascii="Times New Roman" w:hAnsi="Times New Roman" w:eastAsia="仿宋_GB2312" w:cs="Times New Roman"/>
          <w:sz w:val="32"/>
          <w:szCs w:val="32"/>
        </w:rPr>
        <w:t>市同步基本实现社会主义现代化、2050年与全国同步实现社会主义现代化。“十四五”时期，综合考量全市发展实际，经济社会发展要努力实现以下主要目标。</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——具有永济特色的创新生态基本形成。</w:t>
      </w:r>
      <w:r>
        <w:rPr>
          <w:rFonts w:ascii="Times New Roman" w:hAnsi="Times New Roman" w:eastAsia="仿宋_GB2312" w:cs="Times New Roman"/>
          <w:sz w:val="32"/>
          <w:szCs w:val="32"/>
        </w:rPr>
        <w:t>全社会研发经费投入强度达到全省平均水平，规上工业企业研发活动全覆盖成果得到巩固，实现“六新”发展突破，基本构建起有利于创新活力充分涌流、有利于创业潜力有效激发、有利于创造动力竞相迸发的一流创新生态。</w:t>
      </w:r>
    </w:p>
    <w:p>
      <w:pPr>
        <w:jc w:val="both"/>
      </w:pPr>
      <w:r>
        <w:rPr>
          <w:rFonts w:hint="eastAsia" w:ascii="Times New Roman" w:hAnsi="Times New Roman" w:eastAsia="仿宋_GB2312" w:cs="Times New Roman"/>
          <w:b/>
          <w:bCs/>
          <w:sz w:val="32"/>
          <w:szCs w:val="32"/>
          <w:lang w:val="en-US" w:eastAsia="zh-CN"/>
        </w:rPr>
        <w:t xml:space="preserve">    </w:t>
      </w:r>
      <w:r>
        <w:rPr>
          <w:rFonts w:ascii="Times New Roman" w:hAnsi="Times New Roman" w:eastAsia="仿宋_GB2312" w:cs="Times New Roman"/>
          <w:b/>
          <w:bCs/>
          <w:sz w:val="32"/>
          <w:szCs w:val="32"/>
        </w:rPr>
        <w:t>——战略性新兴产业格局基本形成。</w:t>
      </w:r>
      <w:r>
        <w:rPr>
          <w:rFonts w:hint="eastAsia" w:ascii="Times New Roman" w:hAnsi="Times New Roman" w:eastAsia="仿宋_GB2312" w:cs="Times New Roman"/>
          <w:sz w:val="32"/>
          <w:szCs w:val="32"/>
        </w:rPr>
        <w:t>“3+2”产业体系进一步丰富完善，战略性新兴产业进一步发展壮大，培育形成“六强五新”的产业格局。</w:t>
      </w:r>
      <w:r>
        <w:rPr>
          <w:rFonts w:ascii="Times New Roman" w:hAnsi="Times New Roman" w:eastAsia="仿宋_GB2312" w:cs="Times New Roman"/>
          <w:sz w:val="32"/>
          <w:szCs w:val="32"/>
        </w:rPr>
        <w:t>工业产值完成500亿元，</w:t>
      </w:r>
      <w:r>
        <w:rPr>
          <w:rFonts w:hint="eastAsia" w:ascii="Times New Roman" w:hAnsi="Times New Roman" w:eastAsia="仿宋_GB2312" w:cs="Times New Roman"/>
          <w:sz w:val="32"/>
          <w:szCs w:val="32"/>
        </w:rPr>
        <w:t>规模以上工业增加值年均增长20%以上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新一代信息技术、节能环保、数字创意、现代服务业等战略性新兴产业全面发展。同时，旅游产业</w:t>
      </w:r>
      <w:r>
        <w:rPr>
          <w:rFonts w:ascii="Times New Roman" w:hAnsi="Times New Roman" w:eastAsia="仿宋_GB2312" w:cs="Times New Roman"/>
          <w:sz w:val="32"/>
          <w:szCs w:val="32"/>
        </w:rPr>
        <w:t>基础能力和产业链现代化水平显著提升</w:t>
      </w:r>
      <w:r>
        <w:rPr>
          <w:rFonts w:hint="eastAsia" w:ascii="Times New Roman" w:hAnsi="Times New Roman" w:eastAsia="仿宋_GB2312" w:cs="Times New Roman"/>
          <w:sz w:val="32"/>
          <w:szCs w:val="32"/>
        </w:rPr>
        <w:t>，成为我市新兴支柱产业，全市接待境内外游客突破1000万人次，实现旅游综合收入200亿元。</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——绿色能源供应体系基本形成。</w:t>
      </w:r>
      <w:r>
        <w:rPr>
          <w:rFonts w:ascii="Times New Roman" w:hAnsi="Times New Roman" w:eastAsia="仿宋_GB2312" w:cs="Times New Roman"/>
          <w:sz w:val="32"/>
          <w:szCs w:val="32"/>
        </w:rPr>
        <w:t>能源革命综合改革试点取得明显成效，</w:t>
      </w:r>
      <w:r>
        <w:rPr>
          <w:rFonts w:hint="eastAsia" w:ascii="Times New Roman" w:hAnsi="Times New Roman" w:eastAsia="仿宋_GB2312" w:cs="Times New Roman"/>
          <w:sz w:val="32"/>
          <w:szCs w:val="32"/>
        </w:rPr>
        <w:t>碳达峰、碳中和稳步推进，</w:t>
      </w:r>
      <w:r>
        <w:rPr>
          <w:rFonts w:ascii="Times New Roman" w:hAnsi="Times New Roman" w:eastAsia="仿宋_GB2312" w:cs="Times New Roman"/>
          <w:sz w:val="32"/>
          <w:szCs w:val="32"/>
        </w:rPr>
        <w:t>清洁能源深度利用达到全省领先水平，清洁能源和新能源消费比例明显提升，多轮驱动、安全可持续的能源供给体系基本形成。</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——支撑高质量转型发展的体制机制基本形成。</w:t>
      </w:r>
      <w:r>
        <w:rPr>
          <w:rFonts w:ascii="Times New Roman" w:hAnsi="Times New Roman" w:eastAsia="仿宋_GB2312" w:cs="Times New Roman"/>
          <w:sz w:val="32"/>
          <w:szCs w:val="32"/>
        </w:rPr>
        <w:t>各项综合配套改革不断深化，开发区改革创新、文化旅游体制机制创新、科技体制机制创新、要素市场化配置改革等向纵深推进，区域治理现代化能力和水平显著提升，制度优势持续转化为治理效能和发展动能。</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——生态文明制度体系基本形成。</w:t>
      </w:r>
      <w:r>
        <w:rPr>
          <w:rFonts w:ascii="Times New Roman" w:hAnsi="Times New Roman" w:eastAsia="仿宋_GB2312" w:cs="Times New Roman"/>
          <w:sz w:val="32"/>
          <w:szCs w:val="32"/>
        </w:rPr>
        <w:t>主体功能区制度逐步完善，“三线一单”和生态补偿机制加快建立，国家森林城市创建成功，主要污染物排放总量持续减少，生态环境保护制度、资源高效利用制度、生态价值测算评估体系、绿色发展体制机制不断完善。</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——营商环境体制机制基本形成。</w:t>
      </w:r>
      <w:r>
        <w:rPr>
          <w:rFonts w:ascii="Times New Roman" w:hAnsi="Times New Roman" w:eastAsia="仿宋_GB2312" w:cs="Times New Roman"/>
          <w:sz w:val="32"/>
          <w:szCs w:val="32"/>
        </w:rPr>
        <w:t>“放管服效”改革和“六最”营商环境优化持续深入，行政审批服务效率走在全省前列，人才机制活力和政策吸引力大幅提升，打造廉洁高效的政务环境、公平便捷的市场环境、公正透明的法治环境、诚实守信的信用环境、宜居宜业的发展环境。</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——对外开放新局面基本形成。</w:t>
      </w:r>
      <w:r>
        <w:rPr>
          <w:rFonts w:ascii="Times New Roman" w:hAnsi="Times New Roman" w:eastAsia="仿宋_GB2312" w:cs="Times New Roman"/>
          <w:sz w:val="32"/>
          <w:szCs w:val="32"/>
        </w:rPr>
        <w:t>对外开放平台体系基本建立，现代基础设施更加完善，外贸主体大幅增加，经济外向度大幅提高，招商引资步伐加快，开放型经济规模和质量明显提升。</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——城乡统筹发展格局基本形成。</w:t>
      </w:r>
      <w:r>
        <w:rPr>
          <w:rFonts w:ascii="Times New Roman" w:hAnsi="Times New Roman" w:eastAsia="仿宋_GB2312" w:cs="Times New Roman"/>
          <w:sz w:val="32"/>
          <w:szCs w:val="32"/>
        </w:rPr>
        <w:t>以人为核心的新型城镇化加速推进，“142”城市功能品质全面提升，</w:t>
      </w:r>
      <w:r>
        <w:rPr>
          <w:rFonts w:hint="eastAsia" w:ascii="Times New Roman" w:hAnsi="Times New Roman" w:eastAsia="仿宋_GB2312" w:cs="Times New Roman"/>
          <w:sz w:val="32"/>
          <w:szCs w:val="32"/>
        </w:rPr>
        <w:t>精品特色小镇初见雏型，</w:t>
      </w:r>
      <w:r>
        <w:rPr>
          <w:rFonts w:ascii="Times New Roman" w:hAnsi="Times New Roman" w:eastAsia="仿宋_GB2312" w:cs="Times New Roman"/>
          <w:sz w:val="32"/>
          <w:szCs w:val="32"/>
        </w:rPr>
        <w:t>运城市副中心城市和黄河金三角重要节点城市功能不断完善。城乡基本公共服务均等化水平不断提高，城乡一体化和区域协调发展水平明显增强。</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——更加健全完善的民生保障体系基本形成。</w:t>
      </w:r>
      <w:r>
        <w:rPr>
          <w:rFonts w:ascii="Times New Roman" w:hAnsi="Times New Roman" w:eastAsia="仿宋_GB2312" w:cs="Times New Roman"/>
          <w:sz w:val="32"/>
          <w:szCs w:val="32"/>
        </w:rPr>
        <w:t>“人人持证、技能社会”建设取得重大进展，巩固拓展脱贫攻坚成果同乡村振兴实现有效衔接，居民收入与经济增长实现同步增长，</w:t>
      </w:r>
      <w:r>
        <w:rPr>
          <w:rFonts w:hint="eastAsia" w:ascii="Times New Roman" w:hAnsi="Times New Roman" w:eastAsia="仿宋_GB2312" w:cs="Times New Roman"/>
          <w:sz w:val="32"/>
          <w:szCs w:val="32"/>
        </w:rPr>
        <w:t>城乡居民人均可支配收入年均增长10%以上。</w:t>
      </w:r>
      <w:r>
        <w:rPr>
          <w:rFonts w:ascii="Times New Roman" w:hAnsi="Times New Roman" w:eastAsia="仿宋_GB2312" w:cs="Times New Roman"/>
          <w:sz w:val="32"/>
          <w:szCs w:val="32"/>
        </w:rPr>
        <w:t>教育、医疗、文化、体育、社保等民生社会事业稳步推进，公共安全网络织牢织密，人民群众的获得感幸福感安全感持续增强。</w:t>
      </w:r>
    </w:p>
    <w:p>
      <w:pPr>
        <w:spacing w:afterLines="50"/>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——在运城市发展大格局中的战略地位基本形成。</w:t>
      </w:r>
      <w:r>
        <w:rPr>
          <w:rFonts w:ascii="Times New Roman" w:hAnsi="Times New Roman" w:eastAsia="仿宋_GB2312" w:cs="Times New Roman"/>
          <w:sz w:val="32"/>
          <w:szCs w:val="32"/>
        </w:rPr>
        <w:t>经济总量和市域经济综合竞争力不断提升，全市地区生产总值比20</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年翻一番，达到250亿元左右，</w:t>
      </w:r>
      <w:r>
        <w:rPr>
          <w:rFonts w:hint="eastAsia" w:ascii="Times New Roman" w:hAnsi="Times New Roman" w:eastAsia="仿宋_GB2312" w:cs="Times New Roman"/>
          <w:sz w:val="32"/>
          <w:szCs w:val="32"/>
        </w:rPr>
        <w:t>年均增长13%以上</w:t>
      </w:r>
      <w:r>
        <w:rPr>
          <w:rFonts w:ascii="Times New Roman" w:hAnsi="Times New Roman" w:eastAsia="仿宋_GB2312" w:cs="Times New Roman"/>
          <w:sz w:val="32"/>
          <w:szCs w:val="32"/>
        </w:rPr>
        <w:t>，在运城市的排名持续进位。</w:t>
      </w:r>
      <w:r>
        <w:rPr>
          <w:rFonts w:hint="eastAsia" w:ascii="Times New Roman" w:hAnsi="Times New Roman" w:eastAsia="仿宋_GB2312" w:cs="Times New Roman"/>
          <w:sz w:val="32"/>
          <w:szCs w:val="32"/>
        </w:rPr>
        <w:t>固定资产投资年均增长10%，社会消费品零售总额年均增长15 %，一般公共预算收入年均增长6%。</w:t>
      </w:r>
      <w:r>
        <w:rPr>
          <w:rFonts w:ascii="Times New Roman" w:hAnsi="Times New Roman" w:eastAsia="仿宋_GB2312" w:cs="Times New Roman"/>
          <w:sz w:val="32"/>
          <w:szCs w:val="32"/>
        </w:rPr>
        <w:t>黄河金三角区域中永济的影响力显著增强，形成协同发展、深度互动格局，在黄河流域生态保护和高质量发展、全省率先蹚出一条转型发展新路等重大战略中充分彰显“永济担当”。</w:t>
      </w:r>
    </w:p>
    <w:tbl>
      <w:tblPr>
        <w:tblStyle w:val="18"/>
        <w:tblW w:w="8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563"/>
        <w:gridCol w:w="1043"/>
        <w:gridCol w:w="1339"/>
        <w:gridCol w:w="1042"/>
        <w:gridCol w:w="1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8760" w:type="dxa"/>
            <w:gridSpan w:val="6"/>
            <w:tcMar>
              <w:top w:w="15" w:type="dxa"/>
              <w:left w:w="15" w:type="dxa"/>
              <w:right w:w="15" w:type="dxa"/>
            </w:tcMar>
            <w:vAlign w:val="center"/>
          </w:tcPr>
          <w:p>
            <w:pPr>
              <w:pStyle w:val="17"/>
              <w:spacing w:line="360" w:lineRule="auto"/>
              <w:ind w:firstLine="0"/>
              <w:jc w:val="both"/>
              <w:outlineLvl w:val="2"/>
              <w:rPr>
                <w:rStyle w:val="40"/>
                <w:rFonts w:hint="default" w:ascii="Times New Roman" w:hAnsi="Times New Roman" w:eastAsia="黑体" w:cs="Times New Roman"/>
                <w:b w:val="0"/>
                <w:color w:val="auto"/>
                <w:sz w:val="28"/>
                <w:szCs w:val="28"/>
              </w:rPr>
            </w:pPr>
            <w:bookmarkStart w:id="46" w:name="_Toc5632"/>
            <w:bookmarkStart w:id="47" w:name="_Toc7427"/>
            <w:bookmarkStart w:id="48" w:name="_Toc57711633"/>
            <w:r>
              <w:rPr>
                <w:rFonts w:ascii="Times New Roman" w:hAnsi="Times New Roman" w:eastAsia="黑体"/>
                <w:sz w:val="28"/>
                <w:szCs w:val="28"/>
              </w:rPr>
              <w:t>专栏2：“十四五”永济市转型出雏型主要指标表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vMerge w:val="restart"/>
            <w:tcMar>
              <w:top w:w="15" w:type="dxa"/>
              <w:left w:w="15" w:type="dxa"/>
              <w:right w:w="15" w:type="dxa"/>
            </w:tcMar>
            <w:vAlign w:val="center"/>
          </w:tcPr>
          <w:p>
            <w:pPr>
              <w:jc w:val="both"/>
              <w:textAlignment w:val="center"/>
              <w:rPr>
                <w:rFonts w:ascii="Times New Roman" w:hAnsi="Times New Roman" w:eastAsia="宋体" w:cs="Times New Roman"/>
                <w:sz w:val="22"/>
              </w:rPr>
            </w:pPr>
            <w:r>
              <w:rPr>
                <w:rFonts w:ascii="Times New Roman" w:hAnsi="Times New Roman" w:eastAsia="宋体" w:cs="Times New Roman"/>
                <w:kern w:val="0"/>
                <w:sz w:val="22"/>
              </w:rPr>
              <w:t>序号</w:t>
            </w:r>
          </w:p>
        </w:tc>
        <w:tc>
          <w:tcPr>
            <w:tcW w:w="3563" w:type="dxa"/>
            <w:vMerge w:val="restart"/>
            <w:tcMar>
              <w:top w:w="15" w:type="dxa"/>
              <w:left w:w="15" w:type="dxa"/>
              <w:right w:w="15" w:type="dxa"/>
            </w:tcMar>
            <w:vAlign w:val="center"/>
          </w:tcPr>
          <w:p>
            <w:pPr>
              <w:jc w:val="both"/>
              <w:textAlignment w:val="center"/>
              <w:rPr>
                <w:rFonts w:ascii="Times New Roman" w:hAnsi="Times New Roman" w:eastAsia="宋体" w:cs="Times New Roman"/>
                <w:sz w:val="22"/>
              </w:rPr>
            </w:pPr>
            <w:r>
              <w:rPr>
                <w:rFonts w:ascii="Times New Roman" w:hAnsi="Times New Roman" w:eastAsia="宋体" w:cs="Times New Roman"/>
                <w:kern w:val="0"/>
                <w:sz w:val="22"/>
              </w:rPr>
              <w:t>指    标</w:t>
            </w:r>
          </w:p>
        </w:tc>
        <w:tc>
          <w:tcPr>
            <w:tcW w:w="1043" w:type="dxa"/>
            <w:vMerge w:val="restart"/>
            <w:tcMar>
              <w:top w:w="15" w:type="dxa"/>
              <w:left w:w="15" w:type="dxa"/>
              <w:right w:w="15" w:type="dxa"/>
            </w:tcMar>
            <w:vAlign w:val="center"/>
          </w:tcPr>
          <w:p>
            <w:pPr>
              <w:jc w:val="both"/>
              <w:textAlignment w:val="center"/>
              <w:rPr>
                <w:rFonts w:ascii="Times New Roman" w:hAnsi="Times New Roman" w:eastAsia="宋体" w:cs="Times New Roman"/>
                <w:kern w:val="0"/>
                <w:sz w:val="22"/>
              </w:rPr>
            </w:pPr>
            <w:r>
              <w:rPr>
                <w:rFonts w:ascii="Times New Roman" w:hAnsi="Times New Roman" w:eastAsia="宋体" w:cs="Times New Roman"/>
                <w:kern w:val="0"/>
                <w:sz w:val="22"/>
              </w:rPr>
              <w:t>2020年</w:t>
            </w:r>
          </w:p>
          <w:p>
            <w:pPr>
              <w:jc w:val="both"/>
              <w:textAlignment w:val="center"/>
              <w:rPr>
                <w:rFonts w:ascii="Times New Roman" w:hAnsi="Times New Roman" w:eastAsia="宋体" w:cs="Times New Roman"/>
                <w:sz w:val="22"/>
              </w:rPr>
            </w:pPr>
            <w:r>
              <w:rPr>
                <w:rFonts w:ascii="Times New Roman" w:hAnsi="Times New Roman" w:cs="Times New Roman"/>
                <w:kern w:val="0"/>
                <w:sz w:val="22"/>
              </w:rPr>
              <w:t>完成</w:t>
            </w:r>
          </w:p>
        </w:tc>
        <w:tc>
          <w:tcPr>
            <w:tcW w:w="1339" w:type="dxa"/>
            <w:vMerge w:val="restart"/>
            <w:tcMar>
              <w:top w:w="15" w:type="dxa"/>
              <w:left w:w="15" w:type="dxa"/>
              <w:right w:w="15" w:type="dxa"/>
            </w:tcMar>
            <w:vAlign w:val="center"/>
          </w:tcPr>
          <w:p>
            <w:pPr>
              <w:jc w:val="both"/>
              <w:textAlignment w:val="center"/>
              <w:rPr>
                <w:rFonts w:ascii="Times New Roman" w:hAnsi="Times New Roman" w:eastAsia="宋体" w:cs="Times New Roman"/>
                <w:kern w:val="0"/>
                <w:sz w:val="22"/>
              </w:rPr>
            </w:pPr>
            <w:r>
              <w:rPr>
                <w:rFonts w:ascii="Times New Roman" w:hAnsi="Times New Roman" w:eastAsia="宋体" w:cs="Times New Roman"/>
                <w:kern w:val="0"/>
                <w:sz w:val="22"/>
              </w:rPr>
              <w:t>2025年</w:t>
            </w:r>
          </w:p>
          <w:p>
            <w:pPr>
              <w:jc w:val="both"/>
              <w:textAlignment w:val="center"/>
              <w:rPr>
                <w:rFonts w:ascii="Times New Roman" w:hAnsi="Times New Roman" w:eastAsia="宋体" w:cs="Times New Roman"/>
                <w:sz w:val="22"/>
              </w:rPr>
            </w:pPr>
            <w:r>
              <w:rPr>
                <w:rFonts w:ascii="Times New Roman" w:hAnsi="Times New Roman" w:eastAsia="宋体" w:cs="Times New Roman"/>
                <w:kern w:val="0"/>
                <w:sz w:val="22"/>
              </w:rPr>
              <w:t>目标</w:t>
            </w:r>
          </w:p>
        </w:tc>
        <w:tc>
          <w:tcPr>
            <w:tcW w:w="1042" w:type="dxa"/>
            <w:vMerge w:val="restart"/>
            <w:tcMar>
              <w:top w:w="15" w:type="dxa"/>
              <w:left w:w="15" w:type="dxa"/>
              <w:right w:w="15" w:type="dxa"/>
            </w:tcMar>
            <w:vAlign w:val="center"/>
          </w:tcPr>
          <w:p>
            <w:pPr>
              <w:jc w:val="both"/>
              <w:textAlignment w:val="center"/>
              <w:rPr>
                <w:rFonts w:ascii="Times New Roman" w:hAnsi="Times New Roman" w:eastAsia="宋体" w:cs="Times New Roman"/>
                <w:sz w:val="22"/>
              </w:rPr>
            </w:pPr>
            <w:r>
              <w:rPr>
                <w:rFonts w:ascii="Times New Roman" w:hAnsi="Times New Roman" w:eastAsia="宋体" w:cs="Times New Roman"/>
                <w:kern w:val="0"/>
                <w:sz w:val="22"/>
              </w:rPr>
              <w:t>年均增长/累计</w:t>
            </w:r>
          </w:p>
        </w:tc>
        <w:tc>
          <w:tcPr>
            <w:tcW w:w="1000" w:type="dxa"/>
            <w:vMerge w:val="restart"/>
            <w:tcMar>
              <w:top w:w="15" w:type="dxa"/>
              <w:left w:w="15" w:type="dxa"/>
              <w:right w:w="15" w:type="dxa"/>
            </w:tcMar>
            <w:vAlign w:val="center"/>
          </w:tcPr>
          <w:p>
            <w:pPr>
              <w:jc w:val="both"/>
              <w:textAlignment w:val="center"/>
              <w:rPr>
                <w:rFonts w:ascii="Times New Roman" w:hAnsi="Times New Roman" w:eastAsia="宋体" w:cs="Times New Roman"/>
                <w:sz w:val="22"/>
              </w:rPr>
            </w:pPr>
            <w:r>
              <w:rPr>
                <w:rStyle w:val="40"/>
                <w:rFonts w:hint="default" w:ascii="Times New Roman" w:hAnsi="Times New Roman" w:cs="Times New Roman"/>
                <w:b w:val="0"/>
                <w:color w:val="auto"/>
                <w:sz w:val="22"/>
                <w:szCs w:val="22"/>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773" w:type="dxa"/>
            <w:vMerge w:val="continue"/>
            <w:tcMar>
              <w:top w:w="15" w:type="dxa"/>
              <w:left w:w="15" w:type="dxa"/>
              <w:right w:w="15" w:type="dxa"/>
            </w:tcMar>
            <w:vAlign w:val="center"/>
          </w:tcPr>
          <w:p>
            <w:pPr>
              <w:jc w:val="both"/>
              <w:rPr>
                <w:rFonts w:ascii="Times New Roman" w:hAnsi="Times New Roman" w:eastAsia="宋体" w:cs="Times New Roman"/>
                <w:sz w:val="18"/>
                <w:szCs w:val="18"/>
              </w:rPr>
            </w:pPr>
          </w:p>
        </w:tc>
        <w:tc>
          <w:tcPr>
            <w:tcW w:w="3563" w:type="dxa"/>
            <w:vMerge w:val="continue"/>
            <w:tcMar>
              <w:top w:w="15" w:type="dxa"/>
              <w:left w:w="15" w:type="dxa"/>
              <w:right w:w="15" w:type="dxa"/>
            </w:tcMar>
            <w:vAlign w:val="center"/>
          </w:tcPr>
          <w:p>
            <w:pPr>
              <w:jc w:val="both"/>
              <w:rPr>
                <w:rFonts w:ascii="Times New Roman" w:hAnsi="Times New Roman" w:eastAsia="宋体" w:cs="Times New Roman"/>
                <w:sz w:val="18"/>
                <w:szCs w:val="18"/>
              </w:rPr>
            </w:pPr>
          </w:p>
        </w:tc>
        <w:tc>
          <w:tcPr>
            <w:tcW w:w="1043" w:type="dxa"/>
            <w:vMerge w:val="continue"/>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vMerge w:val="continue"/>
            <w:tcMar>
              <w:top w:w="15" w:type="dxa"/>
              <w:left w:w="15" w:type="dxa"/>
              <w:right w:w="15" w:type="dxa"/>
            </w:tcMar>
            <w:vAlign w:val="center"/>
          </w:tcPr>
          <w:p>
            <w:pPr>
              <w:jc w:val="both"/>
              <w:rPr>
                <w:rFonts w:ascii="Times New Roman" w:hAnsi="Times New Roman" w:eastAsia="宋体" w:cs="Times New Roman"/>
                <w:sz w:val="18"/>
                <w:szCs w:val="18"/>
              </w:rPr>
            </w:pPr>
          </w:p>
        </w:tc>
        <w:tc>
          <w:tcPr>
            <w:tcW w:w="1042" w:type="dxa"/>
            <w:vMerge w:val="continue"/>
            <w:tcMar>
              <w:top w:w="15" w:type="dxa"/>
              <w:left w:w="15" w:type="dxa"/>
              <w:right w:w="15" w:type="dxa"/>
            </w:tcMar>
            <w:vAlign w:val="center"/>
          </w:tcPr>
          <w:p>
            <w:pPr>
              <w:jc w:val="both"/>
              <w:rPr>
                <w:rFonts w:ascii="Times New Roman" w:hAnsi="Times New Roman" w:eastAsia="宋体" w:cs="Times New Roman"/>
                <w:sz w:val="18"/>
                <w:szCs w:val="18"/>
              </w:rPr>
            </w:pPr>
          </w:p>
        </w:tc>
        <w:tc>
          <w:tcPr>
            <w:tcW w:w="1000" w:type="dxa"/>
            <w:vMerge w:val="continue"/>
            <w:tcMar>
              <w:top w:w="15" w:type="dxa"/>
              <w:left w:w="15" w:type="dxa"/>
              <w:right w:w="15" w:type="dxa"/>
            </w:tcMar>
            <w:vAlign w:val="center"/>
          </w:tcPr>
          <w:p>
            <w:pPr>
              <w:jc w:val="both"/>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8760" w:type="dxa"/>
            <w:gridSpan w:val="6"/>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一、经济发展（</w:t>
            </w:r>
            <w:r>
              <w:rPr>
                <w:rFonts w:ascii="Times New Roman" w:hAnsi="Times New Roman" w:cs="Times New Roman"/>
                <w:kern w:val="0"/>
                <w:sz w:val="18"/>
                <w:szCs w:val="18"/>
              </w:rPr>
              <w:t>7</w:t>
            </w:r>
            <w:r>
              <w:rPr>
                <w:rFonts w:ascii="Times New Roman" w:hAnsi="Times New Roman" w:eastAsia="宋体" w:cs="Times New Roman"/>
                <w:kern w:val="0"/>
                <w:sz w:val="18"/>
                <w:szCs w:val="18"/>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1</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1"/>
                <w:rFonts w:hint="default" w:ascii="Times New Roman" w:hAnsi="Times New Roman" w:cs="Times New Roman"/>
                <w:color w:val="auto"/>
                <w:sz w:val="18"/>
                <w:szCs w:val="18"/>
              </w:rPr>
              <w:t>地区生产总值（GDP）增长率（%）</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&gt;1</w:t>
            </w:r>
            <w:r>
              <w:rPr>
                <w:rFonts w:hint="eastAsia" w:ascii="Times New Roman" w:hAnsi="Times New Roman" w:eastAsia="宋体" w:cs="Times New Roman"/>
                <w:sz w:val="18"/>
                <w:szCs w:val="18"/>
              </w:rPr>
              <w:t>3</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kern w:val="0"/>
                <w:sz w:val="18"/>
                <w:szCs w:val="18"/>
              </w:rPr>
            </w:pPr>
            <w:r>
              <w:rPr>
                <w:rFonts w:ascii="Times New Roman" w:hAnsi="Times New Roman" w:cs="Times New Roman"/>
                <w:kern w:val="0"/>
                <w:sz w:val="18"/>
                <w:szCs w:val="18"/>
              </w:rPr>
              <w:t>2</w:t>
            </w:r>
          </w:p>
        </w:tc>
        <w:tc>
          <w:tcPr>
            <w:tcW w:w="3563" w:type="dxa"/>
            <w:tcMar>
              <w:top w:w="15" w:type="dxa"/>
              <w:left w:w="15" w:type="dxa"/>
              <w:right w:w="15" w:type="dxa"/>
            </w:tcMar>
            <w:vAlign w:val="center"/>
          </w:tcPr>
          <w:p>
            <w:pPr>
              <w:jc w:val="both"/>
              <w:textAlignment w:val="center"/>
              <w:rPr>
                <w:rStyle w:val="42"/>
                <w:rFonts w:hint="default" w:ascii="Times New Roman" w:hAnsi="Times New Roman" w:cs="Times New Roman"/>
                <w:color w:val="auto"/>
                <w:sz w:val="18"/>
                <w:szCs w:val="18"/>
              </w:rPr>
            </w:pPr>
            <w:r>
              <w:rPr>
                <w:rStyle w:val="42"/>
                <w:rFonts w:hint="default" w:ascii="Times New Roman" w:hAnsi="Times New Roman" w:cs="Times New Roman"/>
                <w:color w:val="auto"/>
                <w:sz w:val="18"/>
                <w:szCs w:val="18"/>
              </w:rPr>
              <w:t>规上工业增加值增速（%）</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3.2</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&gt;20</w:t>
            </w:r>
          </w:p>
        </w:tc>
        <w:tc>
          <w:tcPr>
            <w:tcW w:w="1000" w:type="dxa"/>
            <w:tcMar>
              <w:top w:w="15" w:type="dxa"/>
              <w:left w:w="15" w:type="dxa"/>
              <w:right w:w="15" w:type="dxa"/>
            </w:tcMar>
            <w:vAlign w:val="center"/>
          </w:tcPr>
          <w:p>
            <w:pPr>
              <w:jc w:val="both"/>
              <w:textAlignment w:val="center"/>
              <w:rPr>
                <w:rStyle w:val="42"/>
                <w:rFonts w:hint="default" w:ascii="Times New Roman" w:hAnsi="Times New Roman" w:cs="Times New Roman"/>
                <w:color w:val="auto"/>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3563" w:type="dxa"/>
            <w:tcMar>
              <w:top w:w="15" w:type="dxa"/>
              <w:left w:w="15" w:type="dxa"/>
              <w:right w:w="15" w:type="dxa"/>
            </w:tcMar>
            <w:vAlign w:val="center"/>
          </w:tcPr>
          <w:p>
            <w:pPr>
              <w:jc w:val="both"/>
              <w:textAlignment w:val="center"/>
              <w:rPr>
                <w:rStyle w:val="42"/>
                <w:rFonts w:hint="default" w:ascii="Times New Roman" w:hAnsi="Times New Roman" w:cs="Times New Roman"/>
                <w:color w:val="auto"/>
                <w:sz w:val="18"/>
                <w:szCs w:val="18"/>
              </w:rPr>
            </w:pPr>
            <w:r>
              <w:rPr>
                <w:rStyle w:val="42"/>
                <w:rFonts w:hint="default" w:ascii="Times New Roman" w:hAnsi="Times New Roman" w:cs="Times New Roman"/>
                <w:color w:val="auto"/>
                <w:sz w:val="18"/>
                <w:szCs w:val="18"/>
              </w:rPr>
              <w:t>服务业增加值占GDP的比重（%）</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49.8</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40</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Style w:val="42"/>
                <w:rFonts w:hint="default" w:ascii="Times New Roman" w:hAnsi="Times New Roman" w:cs="Times New Roman"/>
                <w:color w:val="auto"/>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cs="Times New Roman"/>
                <w:kern w:val="0"/>
                <w:sz w:val="18"/>
                <w:szCs w:val="18"/>
              </w:rPr>
              <w:t>4</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常住人口城镇化率（</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52</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59</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cs="Times New Roman"/>
                <w:kern w:val="0"/>
                <w:sz w:val="18"/>
                <w:szCs w:val="18"/>
              </w:rPr>
              <w:t>5</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规上工业企业数量（户）</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52</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102</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cs="Times New Roman"/>
                <w:kern w:val="0"/>
                <w:sz w:val="18"/>
                <w:szCs w:val="18"/>
              </w:rPr>
              <w:t>6</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工业增加值占GDP比重（%）</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14.9</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30</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cs="Times New Roman"/>
                <w:kern w:val="0"/>
                <w:sz w:val="18"/>
                <w:szCs w:val="18"/>
              </w:rPr>
              <w:t>7</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战略性新兴产业增加值占</w:t>
            </w:r>
            <w:r>
              <w:rPr>
                <w:rFonts w:ascii="Times New Roman" w:hAnsi="Times New Roman" w:eastAsia="宋体" w:cs="Times New Roman"/>
                <w:kern w:val="0"/>
                <w:sz w:val="18"/>
                <w:szCs w:val="18"/>
              </w:rPr>
              <w:t>GDP</w:t>
            </w:r>
            <w:r>
              <w:rPr>
                <w:rStyle w:val="42"/>
                <w:rFonts w:hint="default" w:ascii="Times New Roman" w:hAnsi="Times New Roman" w:cs="Times New Roman"/>
                <w:color w:val="auto"/>
                <w:sz w:val="18"/>
                <w:szCs w:val="18"/>
              </w:rPr>
              <w:t>比重（</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完成下达任务</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8760" w:type="dxa"/>
            <w:gridSpan w:val="6"/>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二、创新驱动（4个）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cs="Times New Roman"/>
                <w:sz w:val="18"/>
                <w:szCs w:val="18"/>
              </w:rPr>
              <w:t>8</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1"/>
                <w:rFonts w:hint="default" w:ascii="Times New Roman" w:hAnsi="Times New Roman" w:cs="Times New Roman"/>
                <w:color w:val="auto"/>
                <w:sz w:val="18"/>
                <w:szCs w:val="18"/>
              </w:rPr>
              <w:t>研发经费投入增长</w:t>
            </w:r>
            <w:r>
              <w:rPr>
                <w:rStyle w:val="43"/>
                <w:rFonts w:eastAsia="宋体"/>
                <w:color w:val="auto"/>
                <w:sz w:val="18"/>
                <w:szCs w:val="18"/>
              </w:rPr>
              <w:t>(%)</w:t>
            </w:r>
          </w:p>
        </w:tc>
        <w:tc>
          <w:tcPr>
            <w:tcW w:w="104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2"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9</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重点实验室（国家级/省级）</w:t>
            </w:r>
            <w:r>
              <w:rPr>
                <w:rStyle w:val="43"/>
                <w:rFonts w:eastAsia="宋体"/>
                <w:color w:val="auto"/>
                <w:sz w:val="18"/>
                <w:szCs w:val="18"/>
              </w:rPr>
              <w:t>/</w:t>
            </w:r>
            <w:r>
              <w:rPr>
                <w:rFonts w:ascii="Times New Roman" w:hAnsi="Times New Roman" w:eastAsia="宋体" w:cs="Times New Roman"/>
                <w:kern w:val="0"/>
                <w:sz w:val="18"/>
                <w:szCs w:val="18"/>
              </w:rPr>
              <w:t>技术创新中心（国家级/省级）</w:t>
            </w:r>
            <w:r>
              <w:rPr>
                <w:rStyle w:val="43"/>
                <w:rFonts w:eastAsia="宋体"/>
                <w:color w:val="auto"/>
                <w:sz w:val="18"/>
                <w:szCs w:val="18"/>
              </w:rPr>
              <w:t>/</w:t>
            </w:r>
            <w:r>
              <w:rPr>
                <w:rFonts w:ascii="Times New Roman" w:hAnsi="Times New Roman" w:eastAsia="宋体" w:cs="Times New Roman"/>
                <w:kern w:val="0"/>
                <w:sz w:val="18"/>
                <w:szCs w:val="18"/>
              </w:rPr>
              <w:t>工程研究中心（国家级/省级）(个)</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Style w:val="43"/>
                <w:rFonts w:eastAsia="宋体"/>
                <w:color w:val="auto"/>
                <w:sz w:val="18"/>
                <w:szCs w:val="18"/>
              </w:rPr>
              <w:t>（0/1）/（0/0）/（0/1）</w:t>
            </w:r>
          </w:p>
        </w:tc>
        <w:tc>
          <w:tcPr>
            <w:tcW w:w="1339" w:type="dxa"/>
            <w:tcMar>
              <w:top w:w="15" w:type="dxa"/>
              <w:left w:w="15" w:type="dxa"/>
              <w:right w:w="15" w:type="dxa"/>
            </w:tcMar>
            <w:vAlign w:val="center"/>
          </w:tcPr>
          <w:p>
            <w:pPr>
              <w:pStyle w:val="17"/>
              <w:ind w:firstLine="0"/>
              <w:jc w:val="both"/>
              <w:rPr>
                <w:rFonts w:ascii="Times New Roman" w:hAnsi="Times New Roman"/>
                <w:sz w:val="18"/>
                <w:szCs w:val="18"/>
              </w:rPr>
            </w:pPr>
            <w:r>
              <w:rPr>
                <w:rStyle w:val="43"/>
                <w:color w:val="auto"/>
                <w:sz w:val="18"/>
                <w:szCs w:val="18"/>
              </w:rPr>
              <w:t>（</w:t>
            </w:r>
            <w:r>
              <w:rPr>
                <w:rStyle w:val="43"/>
                <w:rFonts w:hint="eastAsia"/>
                <w:color w:val="auto"/>
                <w:sz w:val="18"/>
                <w:szCs w:val="18"/>
              </w:rPr>
              <w:t>1</w:t>
            </w:r>
            <w:r>
              <w:rPr>
                <w:rStyle w:val="43"/>
                <w:color w:val="auto"/>
                <w:sz w:val="18"/>
                <w:szCs w:val="18"/>
              </w:rPr>
              <w:t>/2）/（1/0）/（0/</w:t>
            </w:r>
            <w:r>
              <w:rPr>
                <w:rStyle w:val="43"/>
                <w:rFonts w:hint="eastAsia"/>
                <w:color w:val="auto"/>
                <w:sz w:val="18"/>
                <w:szCs w:val="18"/>
              </w:rPr>
              <w:t>2</w:t>
            </w:r>
            <w:r>
              <w:rPr>
                <w:rStyle w:val="43"/>
                <w:color w:val="auto"/>
                <w:sz w:val="18"/>
                <w:szCs w:val="18"/>
              </w:rPr>
              <w:t>）</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3563" w:type="dxa"/>
            <w:tcMar>
              <w:top w:w="15" w:type="dxa"/>
              <w:left w:w="15" w:type="dxa"/>
              <w:right w:w="15" w:type="dxa"/>
            </w:tcMar>
            <w:vAlign w:val="center"/>
          </w:tcPr>
          <w:p>
            <w:pPr>
              <w:jc w:val="both"/>
              <w:textAlignment w:val="center"/>
              <w:rPr>
                <w:rStyle w:val="42"/>
                <w:rFonts w:hint="default" w:ascii="Times New Roman" w:hAnsi="Times New Roman" w:cs="Times New Roman"/>
                <w:color w:val="auto"/>
                <w:sz w:val="18"/>
                <w:szCs w:val="18"/>
              </w:rPr>
            </w:pPr>
            <w:r>
              <w:rPr>
                <w:rStyle w:val="42"/>
                <w:rFonts w:hint="default" w:ascii="Times New Roman" w:hAnsi="Times New Roman" w:cs="Times New Roman"/>
                <w:color w:val="auto"/>
                <w:sz w:val="18"/>
                <w:szCs w:val="18"/>
              </w:rPr>
              <w:t>高技术制造业投资增速（</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18</w:t>
            </w:r>
          </w:p>
        </w:tc>
        <w:tc>
          <w:tcPr>
            <w:tcW w:w="1000" w:type="dxa"/>
            <w:tcMar>
              <w:top w:w="15" w:type="dxa"/>
              <w:left w:w="15" w:type="dxa"/>
              <w:right w:w="15" w:type="dxa"/>
            </w:tcMar>
            <w:vAlign w:val="center"/>
          </w:tcPr>
          <w:p>
            <w:pPr>
              <w:jc w:val="both"/>
              <w:textAlignment w:val="center"/>
              <w:rPr>
                <w:rStyle w:val="42"/>
                <w:rFonts w:hint="default" w:ascii="Times New Roman" w:hAnsi="Times New Roman" w:cs="Times New Roman"/>
                <w:color w:val="auto"/>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11</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高技术制造业增加值增速（</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12</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8760" w:type="dxa"/>
            <w:gridSpan w:val="6"/>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三、“六新”突破与产业升级（7个）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12</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5G</w:t>
            </w:r>
            <w:r>
              <w:rPr>
                <w:rStyle w:val="41"/>
                <w:rFonts w:hint="default" w:ascii="Times New Roman" w:hAnsi="Times New Roman" w:cs="Times New Roman"/>
                <w:color w:val="auto"/>
                <w:sz w:val="18"/>
                <w:szCs w:val="18"/>
              </w:rPr>
              <w:t>网络用户普及率（%）【新基建】</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76</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13</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每万人口高价值发明专利拥有量（件）</w:t>
            </w:r>
            <w:r>
              <w:rPr>
                <w:rStyle w:val="41"/>
                <w:rFonts w:hint="default" w:ascii="Times New Roman" w:hAnsi="Times New Roman" w:cs="Times New Roman"/>
                <w:color w:val="auto"/>
                <w:sz w:val="18"/>
                <w:szCs w:val="18"/>
              </w:rPr>
              <w:t>【新技术】</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2.4</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14</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新材料生产企业主营业务收入增速（</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r>
              <w:rPr>
                <w:rStyle w:val="41"/>
                <w:rFonts w:hint="default" w:ascii="Times New Roman" w:hAnsi="Times New Roman" w:cs="Times New Roman"/>
                <w:color w:val="auto"/>
                <w:sz w:val="18"/>
                <w:szCs w:val="18"/>
              </w:rPr>
              <w:t>【新材料】</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15</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高端装备制造业增加值增速（</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r>
              <w:rPr>
                <w:rStyle w:val="41"/>
                <w:rFonts w:hint="default" w:ascii="Times New Roman" w:hAnsi="Times New Roman" w:cs="Times New Roman"/>
                <w:color w:val="auto"/>
                <w:sz w:val="18"/>
                <w:szCs w:val="18"/>
              </w:rPr>
              <w:t>【新装备】</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16</w:t>
            </w:r>
          </w:p>
        </w:tc>
        <w:tc>
          <w:tcPr>
            <w:tcW w:w="356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新产品开发项目数量年均增速（%）</w:t>
            </w:r>
          </w:p>
          <w:p>
            <w:pPr>
              <w:pStyle w:val="17"/>
              <w:ind w:firstLine="0"/>
              <w:jc w:val="both"/>
              <w:rPr>
                <w:rFonts w:ascii="Times New Roman" w:hAnsi="Times New Roman"/>
                <w:sz w:val="18"/>
                <w:szCs w:val="18"/>
              </w:rPr>
            </w:pPr>
            <w:r>
              <w:rPr>
                <w:rStyle w:val="41"/>
                <w:rFonts w:hint="default" w:ascii="Times New Roman" w:hAnsi="Times New Roman" w:cs="Times New Roman"/>
                <w:color w:val="auto"/>
                <w:sz w:val="18"/>
                <w:szCs w:val="18"/>
              </w:rPr>
              <w:t>【新产品】</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17</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数字经济核心产业增加值占</w:t>
            </w:r>
            <w:r>
              <w:rPr>
                <w:rFonts w:ascii="Times New Roman" w:hAnsi="Times New Roman" w:eastAsia="宋体" w:cs="Times New Roman"/>
                <w:kern w:val="0"/>
                <w:sz w:val="18"/>
                <w:szCs w:val="18"/>
              </w:rPr>
              <w:t>GDP</w:t>
            </w:r>
            <w:r>
              <w:rPr>
                <w:rStyle w:val="42"/>
                <w:rFonts w:hint="default" w:ascii="Times New Roman" w:hAnsi="Times New Roman" w:cs="Times New Roman"/>
                <w:color w:val="auto"/>
                <w:sz w:val="18"/>
                <w:szCs w:val="18"/>
              </w:rPr>
              <w:t>比重（</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r>
              <w:rPr>
                <w:rStyle w:val="41"/>
                <w:rFonts w:hint="default" w:ascii="Times New Roman" w:hAnsi="Times New Roman" w:cs="Times New Roman"/>
                <w:color w:val="auto"/>
                <w:sz w:val="18"/>
                <w:szCs w:val="18"/>
              </w:rPr>
              <w:t>【新业态】</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0.034</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完成下达任务</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18</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制造业增加值占规上工业增加值比重（</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90</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8760" w:type="dxa"/>
            <w:gridSpan w:val="6"/>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四、绿色生态（</w:t>
            </w:r>
            <w:r>
              <w:rPr>
                <w:rFonts w:ascii="Times New Roman" w:hAnsi="Times New Roman" w:cs="Times New Roman"/>
                <w:kern w:val="0"/>
                <w:sz w:val="18"/>
                <w:szCs w:val="18"/>
              </w:rPr>
              <w:t>5</w:t>
            </w:r>
            <w:r>
              <w:rPr>
                <w:rFonts w:ascii="Times New Roman" w:hAnsi="Times New Roman" w:eastAsia="宋体" w:cs="Times New Roman"/>
                <w:kern w:val="0"/>
                <w:sz w:val="18"/>
                <w:szCs w:val="18"/>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空气质量优良天数比例（</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完成下达任务</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20</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地表水达到或好于Ⅲ类水体比例（</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完成下达任务</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21</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森林覆盖率（</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29.8</w:t>
            </w: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30.8</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22</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单位</w:t>
            </w:r>
            <w:r>
              <w:rPr>
                <w:rFonts w:ascii="Times New Roman" w:hAnsi="Times New Roman" w:eastAsia="宋体" w:cs="Times New Roman"/>
                <w:kern w:val="0"/>
                <w:sz w:val="18"/>
                <w:szCs w:val="18"/>
              </w:rPr>
              <w:t>GDP</w:t>
            </w:r>
            <w:r>
              <w:rPr>
                <w:rStyle w:val="42"/>
                <w:rFonts w:hint="default" w:ascii="Times New Roman" w:hAnsi="Times New Roman" w:cs="Times New Roman"/>
                <w:color w:val="auto"/>
                <w:sz w:val="18"/>
                <w:szCs w:val="18"/>
              </w:rPr>
              <w:t>能源消耗降低（</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完成下达任务</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23</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单位</w:t>
            </w:r>
            <w:r>
              <w:rPr>
                <w:rFonts w:ascii="Times New Roman" w:hAnsi="Times New Roman" w:eastAsia="宋体" w:cs="Times New Roman"/>
                <w:kern w:val="0"/>
                <w:sz w:val="18"/>
                <w:szCs w:val="18"/>
              </w:rPr>
              <w:t>GDP</w:t>
            </w:r>
            <w:r>
              <w:rPr>
                <w:rStyle w:val="42"/>
                <w:rFonts w:hint="default" w:ascii="Times New Roman" w:hAnsi="Times New Roman" w:cs="Times New Roman"/>
                <w:color w:val="auto"/>
                <w:sz w:val="18"/>
                <w:szCs w:val="18"/>
              </w:rPr>
              <w:t>二氧化碳排放降低（</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完成下达任务</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2"/>
                <w:rFonts w:hint="default" w:ascii="Times New Roman" w:hAnsi="Times New Roman" w:cs="Times New Roman"/>
                <w:color w:val="auto"/>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8760" w:type="dxa"/>
            <w:gridSpan w:val="6"/>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五、人的全面发展（1</w:t>
            </w:r>
            <w:r>
              <w:rPr>
                <w:rFonts w:ascii="Times New Roman" w:hAnsi="Times New Roman" w:cs="Times New Roman"/>
                <w:kern w:val="0"/>
                <w:sz w:val="18"/>
                <w:szCs w:val="18"/>
              </w:rPr>
              <w:t>0</w:t>
            </w:r>
            <w:r>
              <w:rPr>
                <w:rFonts w:ascii="Times New Roman" w:hAnsi="Times New Roman" w:eastAsia="宋体" w:cs="Times New Roman"/>
                <w:kern w:val="0"/>
                <w:sz w:val="18"/>
                <w:szCs w:val="18"/>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24</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从业人员持证率</w:t>
            </w:r>
            <w:r>
              <w:rPr>
                <w:rStyle w:val="42"/>
                <w:rFonts w:hint="default" w:ascii="Times New Roman" w:hAnsi="Times New Roman" w:cs="Times New Roman"/>
                <w:color w:val="auto"/>
                <w:sz w:val="18"/>
                <w:szCs w:val="18"/>
              </w:rPr>
              <w:t>（</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Arial" w:hAnsi="Arial" w:eastAsia="宋体" w:cs="Arial"/>
                <w:sz w:val="18"/>
                <w:szCs w:val="18"/>
              </w:rPr>
              <w:t>≥</w:t>
            </w:r>
            <w:r>
              <w:rPr>
                <w:rFonts w:hint="eastAsia" w:ascii="Times New Roman" w:hAnsi="Times New Roman" w:eastAsia="宋体" w:cs="Times New Roman"/>
                <w:sz w:val="18"/>
                <w:szCs w:val="18"/>
              </w:rPr>
              <w:t>30</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4"/>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kern w:val="0"/>
                <w:sz w:val="18"/>
                <w:szCs w:val="18"/>
              </w:rPr>
            </w:pPr>
            <w:r>
              <w:rPr>
                <w:rFonts w:ascii="Times New Roman" w:hAnsi="Times New Roman" w:cs="Times New Roman"/>
                <w:kern w:val="0"/>
                <w:sz w:val="18"/>
                <w:szCs w:val="18"/>
              </w:rPr>
              <w:t>25</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kern w:val="0"/>
                <w:sz w:val="18"/>
                <w:szCs w:val="18"/>
              </w:rPr>
            </w:pPr>
            <w:r>
              <w:rPr>
                <w:rFonts w:ascii="Times New Roman" w:hAnsi="Times New Roman" w:cs="Times New Roman"/>
                <w:kern w:val="0"/>
                <w:sz w:val="18"/>
                <w:szCs w:val="18"/>
              </w:rPr>
              <w:t>全社会劳动力持证率（%）</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Arial" w:hAnsi="Arial" w:eastAsia="宋体" w:cs="Arial"/>
                <w:sz w:val="18"/>
                <w:szCs w:val="18"/>
              </w:rPr>
              <w:t>≥</w:t>
            </w:r>
            <w:r>
              <w:rPr>
                <w:rFonts w:hint="eastAsia" w:ascii="Times New Roman" w:hAnsi="Times New Roman" w:eastAsia="宋体" w:cs="Times New Roman"/>
                <w:sz w:val="18"/>
                <w:szCs w:val="18"/>
              </w:rPr>
              <w:t>20</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tbl>
            <w:tblPr>
              <w:tblStyle w:val="18"/>
              <w:tblW w:w="8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8341"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4"/>
                      <w:rFonts w:hint="default" w:ascii="Times New Roman" w:hAnsi="Times New Roman" w:cs="Times New Roman"/>
                      <w:color w:val="auto"/>
                      <w:sz w:val="18"/>
                      <w:szCs w:val="18"/>
                    </w:rPr>
                    <w:t>预期性</w:t>
                  </w:r>
                </w:p>
              </w:tc>
            </w:tr>
          </w:tbl>
          <w:p>
            <w:pPr>
              <w:jc w:val="both"/>
              <w:textAlignment w:val="center"/>
              <w:rPr>
                <w:rStyle w:val="44"/>
                <w:rFonts w:hint="default" w:ascii="Times New Roman" w:hAnsi="Times New Roman"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kern w:val="0"/>
                <w:sz w:val="18"/>
                <w:szCs w:val="18"/>
              </w:rPr>
            </w:pPr>
            <w:r>
              <w:rPr>
                <w:rFonts w:ascii="Times New Roman" w:hAnsi="Times New Roman" w:cs="Times New Roman"/>
                <w:kern w:val="0"/>
                <w:sz w:val="18"/>
                <w:szCs w:val="18"/>
              </w:rPr>
              <w:t>26</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城镇居民人均可支配收入</w:t>
            </w:r>
            <w:r>
              <w:rPr>
                <w:rFonts w:ascii="Times New Roman" w:hAnsi="Times New Roman" w:cs="Times New Roman"/>
                <w:kern w:val="0"/>
                <w:sz w:val="18"/>
                <w:szCs w:val="18"/>
              </w:rPr>
              <w:t>增长率</w:t>
            </w:r>
            <w:r>
              <w:rPr>
                <w:rFonts w:ascii="Times New Roman" w:hAnsi="Times New Roman" w:eastAsia="宋体" w:cs="Times New Roman"/>
                <w:kern w:val="0"/>
                <w:sz w:val="18"/>
                <w:szCs w:val="18"/>
              </w:rPr>
              <w:t>（</w:t>
            </w:r>
            <w:r>
              <w:rPr>
                <w:rFonts w:ascii="Times New Roman" w:hAnsi="Times New Roman" w:cs="Times New Roman"/>
                <w:kern w:val="0"/>
                <w:sz w:val="18"/>
                <w:szCs w:val="18"/>
              </w:rPr>
              <w:t>%</w:t>
            </w:r>
            <w:r>
              <w:rPr>
                <w:rFonts w:ascii="Times New Roman" w:hAnsi="Times New Roman" w:eastAsia="宋体" w:cs="Times New Roman"/>
                <w:kern w:val="0"/>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4.5</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10</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Style w:val="44"/>
                <w:rFonts w:hint="default" w:ascii="Times New Roman" w:hAnsi="Times New Roman" w:cs="Times New Roman"/>
                <w:color w:val="auto"/>
                <w:sz w:val="18"/>
                <w:szCs w:val="18"/>
              </w:rPr>
            </w:pPr>
            <w:r>
              <w:rPr>
                <w:rStyle w:val="44"/>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kern w:val="0"/>
                <w:sz w:val="18"/>
                <w:szCs w:val="18"/>
              </w:rPr>
            </w:pPr>
            <w:r>
              <w:rPr>
                <w:rFonts w:ascii="Times New Roman" w:hAnsi="Times New Roman" w:cs="Times New Roman"/>
                <w:kern w:val="0"/>
                <w:sz w:val="18"/>
                <w:szCs w:val="18"/>
              </w:rPr>
              <w:t>27</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农村居民人均可支配收入</w:t>
            </w:r>
            <w:r>
              <w:rPr>
                <w:rFonts w:ascii="Times New Roman" w:hAnsi="Times New Roman" w:cs="Times New Roman"/>
                <w:kern w:val="0"/>
                <w:sz w:val="18"/>
                <w:szCs w:val="18"/>
              </w:rPr>
              <w:t>增长率</w:t>
            </w:r>
            <w:r>
              <w:rPr>
                <w:rFonts w:ascii="Times New Roman" w:hAnsi="Times New Roman" w:eastAsia="宋体" w:cs="Times New Roman"/>
                <w:kern w:val="0"/>
                <w:sz w:val="18"/>
                <w:szCs w:val="18"/>
              </w:rPr>
              <w:t>（</w:t>
            </w:r>
            <w:r>
              <w:rPr>
                <w:rFonts w:ascii="Times New Roman" w:hAnsi="Times New Roman" w:cs="Times New Roman"/>
                <w:kern w:val="0"/>
                <w:sz w:val="18"/>
                <w:szCs w:val="18"/>
              </w:rPr>
              <w:t>%</w:t>
            </w:r>
            <w:r>
              <w:rPr>
                <w:rFonts w:ascii="Times New Roman" w:hAnsi="Times New Roman" w:eastAsia="宋体" w:cs="Times New Roman"/>
                <w:kern w:val="0"/>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7.4</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Arial" w:hAnsi="Arial" w:eastAsia="宋体" w:cs="Arial"/>
                <w:sz w:val="18"/>
                <w:szCs w:val="18"/>
              </w:rPr>
              <w:t>≥</w:t>
            </w:r>
            <w:r>
              <w:rPr>
                <w:rFonts w:hint="eastAsia" w:ascii="Times New Roman" w:hAnsi="Times New Roman" w:eastAsia="宋体" w:cs="Times New Roman"/>
                <w:sz w:val="18"/>
                <w:szCs w:val="18"/>
              </w:rPr>
              <w:t>10</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Style w:val="44"/>
                <w:rFonts w:hint="default" w:ascii="Times New Roman" w:hAnsi="Times New Roman" w:cs="Times New Roman"/>
                <w:color w:val="auto"/>
                <w:sz w:val="18"/>
                <w:szCs w:val="18"/>
              </w:rPr>
            </w:pPr>
            <w:r>
              <w:rPr>
                <w:rStyle w:val="44"/>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28</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城镇调查失业率</w:t>
            </w:r>
            <w:r>
              <w:rPr>
                <w:rStyle w:val="42"/>
                <w:rFonts w:hint="default" w:ascii="Times New Roman" w:hAnsi="Times New Roman" w:cs="Times New Roman"/>
                <w:color w:val="auto"/>
                <w:sz w:val="18"/>
                <w:szCs w:val="18"/>
              </w:rPr>
              <w:t>（</w:t>
            </w:r>
            <w:r>
              <w:rPr>
                <w:rFonts w:ascii="Times New Roman" w:hAnsi="Times New Roman" w:eastAsia="宋体" w:cs="Times New Roman"/>
                <w:kern w:val="0"/>
                <w:sz w:val="18"/>
                <w:szCs w:val="18"/>
              </w:rPr>
              <w:t>%</w:t>
            </w:r>
            <w:r>
              <w:rPr>
                <w:rStyle w:val="42"/>
                <w:rFonts w:hint="default" w:ascii="Times New Roman" w:hAnsi="Times New Roman" w:cs="Times New Roman"/>
                <w:color w:val="auto"/>
                <w:sz w:val="18"/>
                <w:szCs w:val="18"/>
              </w:rPr>
              <w:t>）</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Arial" w:hAnsi="Arial" w:eastAsia="宋体" w:cs="Arial"/>
                <w:sz w:val="18"/>
                <w:szCs w:val="18"/>
              </w:rPr>
              <w:t>≤</w:t>
            </w:r>
            <w:r>
              <w:rPr>
                <w:rFonts w:hint="eastAsia" w:ascii="Times New Roman" w:hAnsi="Times New Roman" w:eastAsia="宋体" w:cs="Times New Roman"/>
                <w:sz w:val="18"/>
                <w:szCs w:val="18"/>
              </w:rPr>
              <w:t>3.8</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4"/>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sz w:val="18"/>
                <w:szCs w:val="18"/>
              </w:rPr>
              <w:t>29</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劳动年龄人口平均受教育年限（年）</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12.5</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4"/>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30</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每千人口拥有执业（助理）医师数</w:t>
            </w:r>
            <w:r>
              <w:rPr>
                <w:rFonts w:ascii="Times New Roman" w:hAnsi="Times New Roman" w:cs="Times New Roman"/>
                <w:kern w:val="0"/>
                <w:sz w:val="18"/>
                <w:szCs w:val="18"/>
              </w:rPr>
              <w:t>（人）</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2.06</w:t>
            </w: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2.85</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4"/>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31</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cs="Times New Roman"/>
                <w:sz w:val="18"/>
                <w:szCs w:val="18"/>
              </w:rPr>
              <w:t>基本养老保险参保率（%）</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Arial" w:hAnsi="Arial" w:eastAsia="宋体" w:cs="Arial"/>
                <w:sz w:val="18"/>
                <w:szCs w:val="18"/>
              </w:rPr>
              <w:t>≥</w:t>
            </w:r>
            <w:r>
              <w:rPr>
                <w:rFonts w:hint="eastAsia" w:ascii="Times New Roman" w:hAnsi="Times New Roman" w:eastAsia="宋体" w:cs="Times New Roman"/>
                <w:sz w:val="18"/>
                <w:szCs w:val="18"/>
              </w:rPr>
              <w:t>95.5</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4"/>
                <w:rFonts w:hint="default" w:ascii="Times New Roman" w:hAnsi="Times New Roman" w:cs="Times New Roman"/>
                <w:color w:val="auto"/>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32</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每千人口拥有3</w:t>
            </w:r>
            <w:r>
              <w:rPr>
                <w:rStyle w:val="42"/>
                <w:rFonts w:hint="default" w:ascii="Times New Roman" w:hAnsi="Times New Roman" w:cs="Times New Roman"/>
                <w:color w:val="auto"/>
                <w:sz w:val="18"/>
                <w:szCs w:val="18"/>
              </w:rPr>
              <w:t>岁以下婴儿托位数（个）</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1.1</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5.0</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4"/>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33</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体育人口占比（%）</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35</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50</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Style w:val="44"/>
                <w:rFonts w:hint="default" w:ascii="Times New Roman" w:hAnsi="Times New Roman" w:cs="Times New Roman"/>
                <w:color w:val="auto"/>
                <w:sz w:val="18"/>
                <w:szCs w:val="1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8760" w:type="dxa"/>
            <w:gridSpan w:val="6"/>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六、安全保障（</w:t>
            </w:r>
            <w:r>
              <w:rPr>
                <w:rFonts w:ascii="Times New Roman" w:hAnsi="Times New Roman" w:cs="Times New Roman"/>
                <w:kern w:val="0"/>
                <w:sz w:val="18"/>
                <w:szCs w:val="18"/>
              </w:rPr>
              <w:t>3</w:t>
            </w:r>
            <w:r>
              <w:rPr>
                <w:rFonts w:ascii="Times New Roman" w:hAnsi="Times New Roman" w:eastAsia="宋体" w:cs="Times New Roman"/>
                <w:kern w:val="0"/>
                <w:sz w:val="18"/>
                <w:szCs w:val="18"/>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kern w:val="0"/>
                <w:sz w:val="18"/>
                <w:szCs w:val="18"/>
              </w:rPr>
            </w:pPr>
            <w:r>
              <w:rPr>
                <w:rFonts w:ascii="Times New Roman" w:hAnsi="Times New Roman" w:cs="Times New Roman"/>
                <w:kern w:val="0"/>
                <w:sz w:val="18"/>
                <w:szCs w:val="18"/>
              </w:rPr>
              <w:t>34</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亿元GDP生产安全事故死亡率（人/亿元）</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0.015</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完成下达任务</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35</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粮食综合生产能力（万吨）</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r>
              <w:rPr>
                <w:rFonts w:hint="eastAsia" w:ascii="Times New Roman" w:hAnsi="Times New Roman" w:eastAsia="宋体" w:cs="Times New Roman"/>
                <w:sz w:val="18"/>
                <w:szCs w:val="18"/>
              </w:rPr>
              <w:t>40</w:t>
            </w: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完成下达任务</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73" w:type="dxa"/>
            <w:tcMar>
              <w:top w:w="15" w:type="dxa"/>
              <w:left w:w="15" w:type="dxa"/>
              <w:right w:w="15" w:type="dxa"/>
            </w:tcMar>
            <w:vAlign w:val="center"/>
          </w:tcPr>
          <w:p>
            <w:pPr>
              <w:jc w:val="both"/>
              <w:textAlignment w:val="center"/>
              <w:rPr>
                <w:rFonts w:ascii="Times New Roman" w:hAnsi="Times New Roman" w:cs="Times New Roman"/>
                <w:sz w:val="18"/>
                <w:szCs w:val="18"/>
              </w:rPr>
            </w:pPr>
            <w:r>
              <w:rPr>
                <w:rFonts w:ascii="Times New Roman" w:hAnsi="Times New Roman" w:cs="Times New Roman"/>
                <w:kern w:val="0"/>
                <w:sz w:val="18"/>
                <w:szCs w:val="18"/>
              </w:rPr>
              <w:t>36</w:t>
            </w:r>
          </w:p>
        </w:tc>
        <w:tc>
          <w:tcPr>
            <w:tcW w:w="3563"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能源综合生产能力（亿吨标准煤）</w:t>
            </w:r>
          </w:p>
        </w:tc>
        <w:tc>
          <w:tcPr>
            <w:tcW w:w="1043" w:type="dxa"/>
            <w:tcMar>
              <w:top w:w="15" w:type="dxa"/>
              <w:left w:w="15" w:type="dxa"/>
              <w:right w:w="15" w:type="dxa"/>
            </w:tcMar>
            <w:vAlign w:val="center"/>
          </w:tcPr>
          <w:p>
            <w:pPr>
              <w:jc w:val="both"/>
              <w:rPr>
                <w:rFonts w:ascii="Times New Roman" w:hAnsi="Times New Roman" w:eastAsia="宋体" w:cs="Times New Roman"/>
                <w:sz w:val="18"/>
                <w:szCs w:val="18"/>
              </w:rPr>
            </w:pPr>
          </w:p>
        </w:tc>
        <w:tc>
          <w:tcPr>
            <w:tcW w:w="1339" w:type="dxa"/>
            <w:tcMar>
              <w:top w:w="15" w:type="dxa"/>
              <w:left w:w="15" w:type="dxa"/>
              <w:right w:w="15" w:type="dxa"/>
            </w:tcMar>
            <w:vAlign w:val="center"/>
          </w:tcPr>
          <w:p>
            <w:pPr>
              <w:jc w:val="both"/>
              <w:rPr>
                <w:rFonts w:ascii="Times New Roman" w:hAnsi="Times New Roman" w:eastAsia="宋体" w:cs="Times New Roman"/>
                <w:sz w:val="18"/>
                <w:szCs w:val="18"/>
              </w:rPr>
            </w:pPr>
            <w:r>
              <w:rPr>
                <w:rFonts w:ascii="Times New Roman" w:hAnsi="Times New Roman" w:eastAsia="宋体" w:cs="Times New Roman"/>
                <w:sz w:val="18"/>
                <w:szCs w:val="18"/>
              </w:rPr>
              <w:t>完成下达任务</w:t>
            </w:r>
          </w:p>
        </w:tc>
        <w:tc>
          <w:tcPr>
            <w:tcW w:w="1042"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00" w:type="dxa"/>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8760" w:type="dxa"/>
            <w:gridSpan w:val="6"/>
            <w:tcMar>
              <w:top w:w="15" w:type="dxa"/>
              <w:left w:w="15" w:type="dxa"/>
              <w:right w:w="15" w:type="dxa"/>
            </w:tcMar>
            <w:vAlign w:val="center"/>
          </w:tcPr>
          <w:p>
            <w:pPr>
              <w:jc w:val="both"/>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rPr>
              <w:t>注：[ ]为累计完成数</w:t>
            </w:r>
            <w:r>
              <w:rPr>
                <w:rFonts w:ascii="Times New Roman" w:hAnsi="Times New Roman" w:cs="Times New Roman"/>
                <w:kern w:val="0"/>
                <w:sz w:val="18"/>
                <w:szCs w:val="18"/>
              </w:rPr>
              <w:t>，</w:t>
            </w:r>
            <w:r>
              <w:rPr>
                <w:rFonts w:ascii="Times New Roman" w:hAnsi="Times New Roman" w:eastAsia="宋体" w:cs="Times New Roman"/>
                <w:kern w:val="0"/>
                <w:sz w:val="18"/>
                <w:szCs w:val="18"/>
              </w:rPr>
              <w:t>*</w:t>
            </w:r>
            <w:r>
              <w:rPr>
                <w:rFonts w:ascii="Times New Roman" w:hAnsi="Times New Roman" w:cs="Times New Roman"/>
                <w:kern w:val="0"/>
                <w:sz w:val="18"/>
                <w:szCs w:val="18"/>
              </w:rPr>
              <w:t>为2019年数据。</w:t>
            </w:r>
          </w:p>
        </w:tc>
      </w:tr>
    </w:tbl>
    <w:p>
      <w:pPr>
        <w:jc w:val="both"/>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beforeLines="100" w:afterLines="100"/>
        <w:jc w:val="center"/>
        <w:outlineLvl w:val="0"/>
        <w:rPr>
          <w:rFonts w:ascii="Times New Roman" w:hAnsi="Times New Roman" w:eastAsia="黑体" w:cs="Times New Roman"/>
          <w:color w:val="000000"/>
          <w:sz w:val="32"/>
          <w:szCs w:val="32"/>
        </w:rPr>
      </w:pPr>
      <w:bookmarkStart w:id="49" w:name="_Toc68253229"/>
      <w:bookmarkStart w:id="50" w:name="_Toc67564126"/>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二</w:t>
      </w:r>
      <w:r>
        <w:rPr>
          <w:rFonts w:ascii="Times New Roman" w:hAnsi="Times New Roman" w:eastAsia="黑体" w:cs="Times New Roman"/>
          <w:color w:val="000000"/>
          <w:sz w:val="32"/>
          <w:szCs w:val="32"/>
        </w:rPr>
        <w:t xml:space="preserve">章  </w:t>
      </w:r>
      <w:r>
        <w:rPr>
          <w:rFonts w:hint="eastAsia" w:ascii="Times New Roman" w:hAnsi="Times New Roman" w:eastAsia="黑体" w:cs="Times New Roman"/>
          <w:color w:val="000000"/>
          <w:sz w:val="32"/>
          <w:szCs w:val="32"/>
        </w:rPr>
        <w:t>持续扩大投资消费</w:t>
      </w:r>
      <w:r>
        <w:rPr>
          <w:rFonts w:ascii="Times New Roman" w:hAnsi="Times New Roman" w:eastAsia="黑体" w:cs="Times New Roman"/>
          <w:color w:val="000000"/>
          <w:sz w:val="32"/>
          <w:szCs w:val="32"/>
        </w:rPr>
        <w:t>，</w:t>
      </w:r>
      <w:r>
        <w:rPr>
          <w:rFonts w:hint="eastAsia" w:ascii="Times New Roman" w:hAnsi="Times New Roman" w:eastAsia="黑体" w:cs="Times New Roman"/>
          <w:color w:val="000000"/>
          <w:sz w:val="32"/>
          <w:szCs w:val="32"/>
        </w:rPr>
        <w:t>锻造高质量转型发展新引擎</w:t>
      </w:r>
      <w:bookmarkEnd w:id="49"/>
    </w:p>
    <w:p>
      <w:pPr>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坚持把投资作为高质量转型发展的最大引擎和重要途径，狠抓招商引资、项目建设、营商环境不动摇。</w:t>
      </w:r>
      <w:r>
        <w:rPr>
          <w:rFonts w:ascii="Times New Roman" w:hAnsi="Times New Roman" w:eastAsia="仿宋_GB2312" w:cs="Times New Roman"/>
          <w:color w:val="000000"/>
          <w:sz w:val="32"/>
          <w:szCs w:val="32"/>
        </w:rPr>
        <w:t>统筹投资和消费，建立健全供给与需求相互促进、投资与消费良性互动的长效机制，全面融入国内大循环为主体、国内国际双循环相互促进的新发展格局。</w:t>
      </w:r>
    </w:p>
    <w:p>
      <w:pPr>
        <w:spacing w:beforeLines="50" w:afterLines="50"/>
        <w:jc w:val="center"/>
        <w:outlineLvl w:val="1"/>
        <w:rPr>
          <w:rFonts w:ascii="Times New Roman" w:hAnsi="Times New Roman" w:eastAsia="楷体_GB2312" w:cs="Times New Roman"/>
          <w:color w:val="000000"/>
          <w:sz w:val="32"/>
          <w:szCs w:val="32"/>
        </w:rPr>
      </w:pPr>
      <w:bookmarkStart w:id="51" w:name="_Toc68253230"/>
      <w:r>
        <w:rPr>
          <w:rFonts w:ascii="Times New Roman" w:hAnsi="Times New Roman" w:eastAsia="楷体_GB2312" w:cs="Times New Roman"/>
          <w:color w:val="000000"/>
          <w:sz w:val="32"/>
          <w:szCs w:val="32"/>
        </w:rPr>
        <w:t>第</w:t>
      </w:r>
      <w:r>
        <w:rPr>
          <w:rFonts w:hint="eastAsia" w:ascii="Times New Roman" w:hAnsi="Times New Roman" w:eastAsia="楷体_GB2312" w:cs="Times New Roman"/>
          <w:color w:val="000000"/>
          <w:sz w:val="32"/>
          <w:szCs w:val="32"/>
        </w:rPr>
        <w:t>一</w:t>
      </w:r>
      <w:r>
        <w:rPr>
          <w:rFonts w:ascii="Times New Roman" w:hAnsi="Times New Roman" w:eastAsia="楷体_GB2312" w:cs="Times New Roman"/>
          <w:color w:val="000000"/>
          <w:sz w:val="32"/>
          <w:szCs w:val="32"/>
        </w:rPr>
        <w:t xml:space="preserve">节  </w:t>
      </w:r>
      <w:r>
        <w:rPr>
          <w:rFonts w:hint="eastAsia" w:ascii="Times New Roman" w:hAnsi="Times New Roman" w:eastAsia="楷体_GB2312" w:cs="Times New Roman"/>
          <w:color w:val="000000"/>
          <w:sz w:val="32"/>
          <w:szCs w:val="32"/>
        </w:rPr>
        <w:t>全力推进招商引资</w:t>
      </w:r>
      <w:bookmarkEnd w:id="51"/>
    </w:p>
    <w:p>
      <w:pPr>
        <w:widowControl w:val="0"/>
        <w:wordWrap/>
        <w:adjustRightInd/>
        <w:snapToGrid/>
        <w:spacing w:line="660" w:lineRule="exact"/>
        <w:ind w:left="0" w:leftChars="0" w:right="0" w:firstLine="640" w:firstLineChars="200"/>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坚持将招商引资作为“一号工程”，优化招商体制机制，提升招商水平，</w:t>
      </w:r>
      <w:r>
        <w:rPr>
          <w:rFonts w:ascii="Times New Roman" w:hAnsi="Times New Roman" w:eastAsia="仿宋_GB2312" w:cs="Times New Roman"/>
          <w:color w:val="000000"/>
          <w:sz w:val="32"/>
          <w:szCs w:val="32"/>
        </w:rPr>
        <w:t>大力推进稳链、补链、强链，</w:t>
      </w:r>
      <w:r>
        <w:rPr>
          <w:rFonts w:ascii="Times New Roman" w:hAnsi="Times New Roman" w:eastAsia="仿宋_GB2312"/>
          <w:kern w:val="0"/>
          <w:sz w:val="32"/>
          <w:szCs w:val="32"/>
        </w:rPr>
        <w:t>促进产业链、供应链、创新链跨区域协作</w:t>
      </w:r>
      <w:r>
        <w:rPr>
          <w:rFonts w:hint="eastAsia" w:ascii="Times New Roman" w:hAnsi="Times New Roman" w:eastAsia="仿宋_GB2312"/>
          <w:kern w:val="0"/>
          <w:sz w:val="32"/>
          <w:szCs w:val="32"/>
        </w:rPr>
        <w:t>，提升产业发展层次和水平</w:t>
      </w:r>
      <w:r>
        <w:rPr>
          <w:rFonts w:ascii="Times New Roman" w:hAnsi="Times New Roman" w:eastAsia="仿宋_GB2312" w:cs="Times New Roman"/>
          <w:color w:val="000000"/>
          <w:sz w:val="32"/>
          <w:szCs w:val="32"/>
        </w:rPr>
        <w:t>。</w:t>
      </w:r>
    </w:p>
    <w:p>
      <w:pPr>
        <w:widowControl w:val="0"/>
        <w:wordWrap/>
        <w:adjustRightInd/>
        <w:snapToGrid/>
        <w:spacing w:line="660" w:lineRule="exact"/>
        <w:ind w:left="0" w:leftChars="0" w:right="0" w:firstLine="643" w:firstLineChars="200"/>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持续加大招商引资力度。</w:t>
      </w:r>
      <w:r>
        <w:rPr>
          <w:rFonts w:hint="eastAsia" w:ascii="Times New Roman" w:hAnsi="Times New Roman" w:eastAsia="仿宋_GB2312" w:cs="Times New Roman"/>
          <w:color w:val="000000"/>
          <w:sz w:val="32"/>
          <w:szCs w:val="32"/>
        </w:rPr>
        <w:t>围绕做大做强优势产业，培育壮大新兴产业，盯住重点区域、重点企业，通过精准招商、产业链招商、以商招商，扎实做好建链、补链、延链、提链、强链，</w:t>
      </w:r>
      <w:r>
        <w:rPr>
          <w:rFonts w:ascii="Times New Roman" w:hAnsi="Times New Roman" w:eastAsia="仿宋_GB2312" w:cs="Times New Roman"/>
          <w:sz w:val="32"/>
          <w:szCs w:val="32"/>
        </w:rPr>
        <w:t>开展全产业链招商，着力构建龙头企业+研发机构+配套产业或配套企业+产业基金扶持+政府保姆式服务+开发区负责落地的招商模式。</w:t>
      </w:r>
      <w:r>
        <w:rPr>
          <w:rFonts w:hint="eastAsia" w:ascii="Times New Roman" w:hAnsi="Times New Roman" w:eastAsia="仿宋_GB2312" w:cs="Times New Roman"/>
          <w:color w:val="000000"/>
          <w:sz w:val="32"/>
          <w:szCs w:val="32"/>
        </w:rPr>
        <w:t>继续实行重点招商项目县级领导专班负责机制，全程提供“保姆式”服务，争取更多项目落户永济。</w:t>
      </w:r>
      <w:r>
        <w:rPr>
          <w:rFonts w:ascii="Times New Roman" w:hAnsi="Times New Roman" w:eastAsia="仿宋_GB2312" w:cs="Times New Roman"/>
          <w:sz w:val="32"/>
          <w:szCs w:val="32"/>
        </w:rPr>
        <w:t>深化招商引资体制机制改革，继续推进市场化组建招商专班，全面提升专业化水平。</w:t>
      </w:r>
      <w:r>
        <w:rPr>
          <w:rFonts w:hint="eastAsia" w:ascii="Times New Roman" w:hAnsi="Times New Roman" w:eastAsia="仿宋_GB2312" w:cs="Times New Roman"/>
          <w:color w:val="000000"/>
          <w:sz w:val="32"/>
          <w:szCs w:val="32"/>
        </w:rPr>
        <w:t>“十四五”期间，力争项目签约额突破1000亿元，开工率达到70%以上。</w:t>
      </w:r>
    </w:p>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主动嵌入全球全国产业链。</w:t>
      </w:r>
      <w:r>
        <w:rPr>
          <w:rFonts w:ascii="Times New Roman" w:hAnsi="Times New Roman" w:eastAsia="仿宋_GB2312" w:cs="Times New Roman"/>
          <w:color w:val="000000"/>
          <w:sz w:val="32"/>
          <w:szCs w:val="32"/>
        </w:rPr>
        <w:t>发挥龙头企业带动作用，以机电制造、新能源汽车及汽车轻量化零配件、风电维修制造等产业领域为重点，强化产业链共性设施和共性技术平台建设，推动产业链上下游</w:t>
      </w:r>
      <w:r>
        <w:rPr>
          <w:rFonts w:hint="eastAsia" w:ascii="Times New Roman" w:hAnsi="Times New Roman" w:eastAsia="仿宋_GB2312" w:cs="Times New Roman"/>
          <w:color w:val="000000"/>
          <w:sz w:val="32"/>
          <w:szCs w:val="32"/>
        </w:rPr>
        <w:t>企业</w:t>
      </w:r>
      <w:r>
        <w:rPr>
          <w:rFonts w:ascii="Times New Roman" w:hAnsi="Times New Roman" w:eastAsia="仿宋_GB2312" w:cs="Times New Roman"/>
          <w:color w:val="000000"/>
          <w:sz w:val="32"/>
          <w:szCs w:val="32"/>
        </w:rPr>
        <w:t>的横向联合、纵向整合，培育嵌入国内外制造业供应链的“</w:t>
      </w:r>
      <w:r>
        <w:rPr>
          <w:rFonts w:hint="eastAsia" w:ascii="Times New Roman" w:hAnsi="Times New Roman" w:eastAsia="仿宋_GB2312" w:cs="Times New Roman"/>
          <w:color w:val="000000"/>
          <w:sz w:val="32"/>
          <w:szCs w:val="32"/>
        </w:rPr>
        <w:t>拳头</w:t>
      </w:r>
      <w:r>
        <w:rPr>
          <w:rFonts w:ascii="Times New Roman" w:hAnsi="Times New Roman" w:eastAsia="仿宋_GB2312" w:cs="Times New Roman"/>
          <w:color w:val="000000"/>
          <w:sz w:val="32"/>
          <w:szCs w:val="32"/>
        </w:rPr>
        <w:t>”产品。大力推动移动互联网、大数据、云计算、物联网等与产业融合发展，引导产业链、价值链向高端延伸。建立供应链安全预警机制，定期分析评估重点产业、重点企业、重点项目供应保障问题。</w:t>
      </w:r>
    </w:p>
    <w:p>
      <w:pPr>
        <w:pStyle w:val="17"/>
        <w:ind w:firstLine="643" w:firstLineChars="200"/>
        <w:jc w:val="both"/>
      </w:pPr>
      <w:r>
        <w:rPr>
          <w:rFonts w:ascii="Times New Roman" w:hAnsi="Times New Roman" w:eastAsia="仿宋_GB2312"/>
          <w:b/>
          <w:bCs/>
          <w:color w:val="000000"/>
          <w:sz w:val="32"/>
          <w:szCs w:val="32"/>
        </w:rPr>
        <w:t>实施补链延链强链工程。</w:t>
      </w:r>
      <w:r>
        <w:rPr>
          <w:rFonts w:ascii="Times New Roman" w:hAnsi="Times New Roman" w:eastAsia="仿宋_GB2312"/>
          <w:color w:val="000000"/>
          <w:sz w:val="32"/>
          <w:szCs w:val="32"/>
        </w:rPr>
        <w:t>围绕“3+2”产业体系，建立实施产业链“链长”制度，谋划产业循环半径、产业链循环图和产业链地图，积极承接京津冀、长三角、大湾区产业转移，创新招商模式，实施精准招商，加快推进产业链、供应链上下游</w:t>
      </w:r>
      <w:r>
        <w:rPr>
          <w:rFonts w:hint="eastAsia" w:ascii="Times New Roman" w:hAnsi="Times New Roman" w:eastAsia="仿宋_GB2312"/>
          <w:color w:val="000000"/>
          <w:sz w:val="32"/>
          <w:szCs w:val="32"/>
        </w:rPr>
        <w:t>企</w:t>
      </w:r>
      <w:r>
        <w:rPr>
          <w:rFonts w:ascii="Times New Roman" w:hAnsi="Times New Roman" w:eastAsia="仿宋_GB2312"/>
          <w:color w:val="000000"/>
          <w:sz w:val="32"/>
          <w:szCs w:val="32"/>
        </w:rPr>
        <w:t>业的引进落地。充分挖掘市内需求，聚焦基本消费品、大宗消费商品、装备材料工业用品，有效完善供应链、补齐产业链，强化下游产品、终端产品、消费产品供给，促进投资消费良性互动、产业和消费“双升级”。</w:t>
      </w:r>
    </w:p>
    <w:p>
      <w:pPr>
        <w:spacing w:beforeLines="50" w:afterLines="50"/>
        <w:jc w:val="center"/>
        <w:outlineLvl w:val="1"/>
        <w:rPr>
          <w:rFonts w:ascii="Times New Roman" w:hAnsi="Times New Roman" w:eastAsia="楷体_GB2312" w:cs="Times New Roman"/>
          <w:color w:val="000000"/>
          <w:sz w:val="32"/>
          <w:szCs w:val="32"/>
        </w:rPr>
      </w:pPr>
      <w:bookmarkStart w:id="52" w:name="_Toc68253231"/>
      <w:r>
        <w:rPr>
          <w:rFonts w:ascii="Times New Roman" w:hAnsi="Times New Roman" w:eastAsia="楷体_GB2312" w:cs="Times New Roman"/>
          <w:color w:val="000000"/>
          <w:sz w:val="32"/>
          <w:szCs w:val="32"/>
        </w:rPr>
        <w:t>第</w:t>
      </w:r>
      <w:r>
        <w:rPr>
          <w:rFonts w:hint="eastAsia" w:ascii="Times New Roman" w:hAnsi="Times New Roman" w:eastAsia="楷体_GB2312" w:cs="Times New Roman"/>
          <w:color w:val="000000"/>
          <w:sz w:val="32"/>
          <w:szCs w:val="32"/>
        </w:rPr>
        <w:t>二</w:t>
      </w:r>
      <w:r>
        <w:rPr>
          <w:rFonts w:ascii="Times New Roman" w:hAnsi="Times New Roman" w:eastAsia="楷体_GB2312" w:cs="Times New Roman"/>
          <w:color w:val="000000"/>
          <w:sz w:val="32"/>
          <w:szCs w:val="32"/>
        </w:rPr>
        <w:t>节  深度拓展投资空间</w:t>
      </w:r>
      <w:bookmarkEnd w:id="52"/>
    </w:p>
    <w:p>
      <w:pPr>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坚持以项目论英雄，以项目论业绩，</w:t>
      </w:r>
      <w:r>
        <w:rPr>
          <w:rFonts w:ascii="Times New Roman" w:hAnsi="Times New Roman" w:eastAsia="仿宋_GB2312" w:cs="Times New Roman"/>
          <w:color w:val="000000"/>
          <w:sz w:val="32"/>
          <w:szCs w:val="32"/>
        </w:rPr>
        <w:t>充分发挥投资关键性作用，稳步扩大有效投资，补齐经济社会领域短板弱项，</w:t>
      </w:r>
      <w:r>
        <w:rPr>
          <w:rFonts w:hint="eastAsia" w:ascii="Times New Roman" w:hAnsi="Times New Roman" w:eastAsia="仿宋_GB2312" w:cs="Times New Roman"/>
          <w:color w:val="000000"/>
          <w:sz w:val="32"/>
          <w:szCs w:val="32"/>
        </w:rPr>
        <w:t>在全市形成“一切围绕项目想、一切围绕项目落、一切围绕项目干”的浓厚氛围。</w:t>
      </w:r>
    </w:p>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加大基础设施建设。</w:t>
      </w:r>
      <w:r>
        <w:rPr>
          <w:rFonts w:ascii="Times New Roman" w:hAnsi="Times New Roman" w:eastAsia="仿宋_GB2312" w:cs="Times New Roman"/>
          <w:color w:val="000000"/>
          <w:sz w:val="32"/>
          <w:szCs w:val="32"/>
        </w:rPr>
        <w:t>启动实施永济—芮城太安（晋豫界）高速、国道521线永济段改建，加快三条沿黄旅游公路支线建设，推进282公里四好农村公路、高铁永济北站客运汽车站、蒲州景区公交枢纽站，加快智慧交通建设，对全市县道和沿黄旅游公路200公里道路沿线安装监控、大数据采集和中控平台，到2025年，全市农村公路“十纵四横”路网进一步加密拓展，形成主线串联、支线循环的“城景通、景景通”全域旅游一张网，与铁路、高速共同构成“快进慢游深体验”交通网，实现安全、便捷、高效、绿色的现代公路运输体系全覆盖。</w:t>
      </w:r>
    </w:p>
    <w:tbl>
      <w:tblPr>
        <w:tblStyle w:val="19"/>
        <w:tblW w:w="8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900" w:type="dxa"/>
            <w:vAlign w:val="top"/>
          </w:tcPr>
          <w:p>
            <w:pPr>
              <w:jc w:val="both"/>
              <w:rPr>
                <w:rFonts w:ascii="Times New Roman" w:hAnsi="Times New Roman" w:eastAsia="楷体_GB2312" w:cs="Times New Roman"/>
                <w:sz w:val="32"/>
                <w:szCs w:val="32"/>
              </w:rPr>
            </w:pPr>
            <w:r>
              <w:rPr>
                <w:rFonts w:hint="eastAsia" w:ascii="Times New Roman" w:hAnsi="Times New Roman" w:eastAsia="黑体" w:cs="Times New Roman"/>
                <w:sz w:val="28"/>
                <w:szCs w:val="28"/>
              </w:rPr>
              <w:t>专栏</w:t>
            </w:r>
            <w:r>
              <w:rPr>
                <w:rFonts w:ascii="Times New Roman" w:hAnsi="Times New Roman" w:eastAsia="黑体" w:cs="Times New Roman"/>
                <w:sz w:val="28"/>
                <w:szCs w:val="28"/>
              </w:rPr>
              <w:t>3</w:t>
            </w:r>
            <w:r>
              <w:rPr>
                <w:rFonts w:hint="eastAsia" w:ascii="Times New Roman" w:hAnsi="Times New Roman" w:eastAsia="黑体" w:cs="Times New Roman"/>
                <w:sz w:val="28"/>
                <w:szCs w:val="28"/>
              </w:rPr>
              <w:t>：“十四五”全市重点交通项目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5" w:hRule="atLeast"/>
        </w:trPr>
        <w:tc>
          <w:tcPr>
            <w:tcW w:w="8900" w:type="dxa"/>
            <w:vAlign w:val="top"/>
          </w:tcPr>
          <w:p>
            <w:pPr>
              <w:spacing w:beforeLines="50" w:line="360" w:lineRule="exact"/>
              <w:ind w:firstLine="422" w:firstLineChars="200"/>
              <w:jc w:val="both"/>
              <w:rPr>
                <w:rFonts w:ascii="方正小标宋简体" w:hAnsi="宋体" w:eastAsia="方正小标宋简体" w:cs="方正小标宋简体"/>
                <w:szCs w:val="21"/>
              </w:rPr>
            </w:pPr>
            <w:r>
              <w:rPr>
                <w:rFonts w:hint="eastAsia" w:ascii="方正小标宋简体" w:hAnsi="宋体" w:eastAsia="方正小标宋简体" w:cs="方正小标宋简体"/>
                <w:b/>
                <w:szCs w:val="21"/>
              </w:rPr>
              <w:t>公路建设项目。</w:t>
            </w:r>
            <w:r>
              <w:rPr>
                <w:rFonts w:hint="eastAsia" w:ascii="方正小标宋简体" w:hAnsi="宋体" w:eastAsia="方正小标宋简体" w:cs="方正小标宋简体"/>
                <w:szCs w:val="21"/>
              </w:rPr>
              <w:t>永济—芮城太安（晋豫界）高速、G521线（国道运潼线）永济段改建工程、三条沿黄旅游公路支线建设项目（包括：永卿路改建项目、于黄路改建项目、雪花山至王官峪新建项目）、国防战备公路项目（包括：张留庄至飞机场油库公路、521国道至蒲州街公路）、永济市智慧交通建设项目等。</w:t>
            </w:r>
          </w:p>
          <w:p>
            <w:pPr>
              <w:spacing w:line="360" w:lineRule="exact"/>
              <w:ind w:firstLine="422" w:firstLineChars="200"/>
              <w:jc w:val="both"/>
              <w:rPr>
                <w:rFonts w:ascii="方正小标宋简体" w:hAnsi="宋体" w:eastAsia="方正小标宋简体" w:cs="方正小标宋简体"/>
                <w:szCs w:val="21"/>
              </w:rPr>
            </w:pPr>
            <w:r>
              <w:rPr>
                <w:rFonts w:hint="eastAsia" w:ascii="方正小标宋简体" w:hAnsi="宋体" w:eastAsia="方正小标宋简体" w:cs="方正小标宋简体"/>
                <w:b/>
                <w:szCs w:val="21"/>
              </w:rPr>
              <w:t>四好农村路建设工程。</w:t>
            </w:r>
            <w:r>
              <w:rPr>
                <w:rFonts w:hint="eastAsia" w:ascii="方正小标宋简体" w:hAnsi="宋体" w:eastAsia="方正小标宋简体" w:cs="方正小标宋简体"/>
                <w:szCs w:val="21"/>
              </w:rPr>
              <w:t>县乡公路改造2项24. 994公里；交通扶贫资源路、旅游路、产业路项目5项24. 718公里；自然村通硬化路建设39项，86. 284公里；农村公路安全生命防护工程44项115公里；窄路基路面拓宽工程4项8. 893公里；场林区场部通硬化路1项，永济国有林场—运文线4公里；建制村通双车道3项5. 828公里；危桥改建3座；路网优化提升8项，共12. 643公里。</w:t>
            </w:r>
          </w:p>
          <w:p>
            <w:pPr>
              <w:spacing w:afterLines="50" w:line="360" w:lineRule="exact"/>
              <w:ind w:firstLine="422" w:firstLineChars="200"/>
              <w:jc w:val="both"/>
              <w:rPr>
                <w:rFonts w:ascii="Times New Roman" w:hAnsi="Times New Roman" w:cs="Times New Roman"/>
              </w:rPr>
            </w:pPr>
            <w:r>
              <w:rPr>
                <w:rFonts w:hint="eastAsia" w:ascii="方正小标宋简体" w:hAnsi="宋体" w:eastAsia="方正小标宋简体" w:cs="方正小标宋简体"/>
                <w:b/>
                <w:szCs w:val="21"/>
              </w:rPr>
              <w:t>运输场站建设工程。</w:t>
            </w:r>
            <w:r>
              <w:rPr>
                <w:rFonts w:hint="eastAsia" w:ascii="方正小标宋简体" w:hAnsi="宋体" w:eastAsia="方正小标宋简体" w:cs="方正小标宋简体"/>
                <w:szCs w:val="21"/>
              </w:rPr>
              <w:t>新建大西高铁永济北站客运汽车站、新建永济市城西公交站、新建永济市韩阳公交站、新建永济市蒲州景区公交枢纽站。</w:t>
            </w:r>
          </w:p>
        </w:tc>
      </w:tr>
    </w:tbl>
    <w:p>
      <w:pPr>
        <w:spacing w:beforeLines="50"/>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聚焦重点领域扩大投资。</w:t>
      </w:r>
      <w:r>
        <w:rPr>
          <w:rFonts w:ascii="Times New Roman" w:hAnsi="Times New Roman" w:eastAsia="仿宋_GB2312" w:cs="Times New Roman"/>
          <w:color w:val="000000"/>
          <w:sz w:val="32"/>
          <w:szCs w:val="32"/>
        </w:rPr>
        <w:t>围绕机电制造、</w:t>
      </w:r>
      <w:r>
        <w:rPr>
          <w:rFonts w:ascii="Times New Roman" w:hAnsi="Times New Roman" w:eastAsia="仿宋_GB2312" w:cs="Times New Roman"/>
          <w:sz w:val="32"/>
          <w:szCs w:val="32"/>
        </w:rPr>
        <w:t>新能源汽车及汽车轻量化零配件产业、</w:t>
      </w:r>
      <w:r>
        <w:rPr>
          <w:rFonts w:ascii="Times New Roman" w:hAnsi="Times New Roman" w:eastAsia="仿宋_GB2312" w:cs="Times New Roman"/>
          <w:color w:val="000000"/>
          <w:sz w:val="32"/>
          <w:szCs w:val="32"/>
        </w:rPr>
        <w:t>风电维修制造、高端印染包装、数字经济、文化旅游、农产品精深加工等重点产业，以及光电科技、智能制造、大数据应用、高端材料等新兴产业，谋划实施一批提高产业竞争力的项目。围绕“两新一重”和城市更新行动，谋划一批交通、供水电力、智慧城市、海绵城市、老旧小区改造等增强城市承载力的项目。围绕乡村建设行动，谋划一批农村水、电、路、通信、物流等基础设施和垃圾污水处理等人居环境改善项目。围绕提高人民生活品质，谋划一批疾病预防控制、教育、养老、公共服务等增强人民群众获得感的项目。“十四五”期间，谋划库项目动态总投资规模达到</w:t>
      </w:r>
      <w:r>
        <w:rPr>
          <w:rFonts w:hint="eastAsia" w:ascii="Times New Roman" w:hAnsi="Times New Roman" w:eastAsia="仿宋_GB2312" w:cs="Times New Roman"/>
          <w:color w:val="000000"/>
          <w:sz w:val="32"/>
          <w:szCs w:val="32"/>
        </w:rPr>
        <w:t>50</w:t>
      </w:r>
      <w:r>
        <w:rPr>
          <w:rFonts w:ascii="Times New Roman" w:hAnsi="Times New Roman" w:eastAsia="仿宋_GB2312" w:cs="Times New Roman"/>
          <w:color w:val="000000"/>
          <w:sz w:val="32"/>
          <w:szCs w:val="32"/>
        </w:rPr>
        <w:t>00亿左右。</w:t>
      </w:r>
    </w:p>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完善项目推进机制。</w:t>
      </w:r>
      <w:r>
        <w:rPr>
          <w:rFonts w:ascii="Times New Roman" w:hAnsi="Times New Roman" w:eastAsia="仿宋_GB2312" w:cs="Times New Roman"/>
          <w:color w:val="000000"/>
          <w:sz w:val="32"/>
          <w:szCs w:val="32"/>
        </w:rPr>
        <w:t>落实项目推进“五个一”机制，持续推行包联机制，</w:t>
      </w:r>
      <w:r>
        <w:rPr>
          <w:rFonts w:hint="eastAsia" w:ascii="Times New Roman" w:hAnsi="Times New Roman" w:eastAsia="仿宋_GB2312" w:cs="Times New Roman"/>
          <w:color w:val="000000"/>
          <w:sz w:val="32"/>
          <w:szCs w:val="32"/>
        </w:rPr>
        <w:t>建立“周调度、月通报、季排名、年评优”考核推进机制，实行建账、理账、对账、交账、算账“五账法”，全面加快项目签约、落地、开工、投产达效步伐。</w:t>
      </w:r>
      <w:r>
        <w:rPr>
          <w:rFonts w:ascii="Times New Roman" w:hAnsi="Times New Roman" w:eastAsia="仿宋_GB2312" w:cs="Times New Roman"/>
          <w:color w:val="000000"/>
          <w:sz w:val="32"/>
          <w:szCs w:val="32"/>
        </w:rPr>
        <w:t>持续推动项目开工、签约、投产“三个一批”，加大项目资金、用地、能耗等要素保障力度。做好地方政府专项债券工作，推动政府投资计划全覆盖，不断优化政府投资方向和结构。鼓励和引导社会资本通过特许经营、政府购买服务、股权合作等方式开展项目合作。</w:t>
      </w:r>
    </w:p>
    <w:p>
      <w:pPr>
        <w:spacing w:beforeLines="50" w:afterLines="50"/>
        <w:jc w:val="center"/>
        <w:outlineLvl w:val="1"/>
        <w:rPr>
          <w:rFonts w:ascii="Times New Roman" w:hAnsi="Times New Roman" w:eastAsia="楷体_GB2312" w:cs="Times New Roman"/>
          <w:kern w:val="0"/>
          <w:sz w:val="32"/>
          <w:szCs w:val="32"/>
          <w:lang w:bidi="en-US"/>
        </w:rPr>
      </w:pPr>
      <w:bookmarkStart w:id="53" w:name="_Toc68253232"/>
      <w:r>
        <w:rPr>
          <w:rFonts w:ascii="Times New Roman" w:hAnsi="Times New Roman" w:eastAsia="楷体_GB2312" w:cs="Times New Roman"/>
          <w:kern w:val="0"/>
          <w:sz w:val="32"/>
          <w:szCs w:val="32"/>
          <w:lang w:bidi="en-US"/>
        </w:rPr>
        <w:t>第</w:t>
      </w:r>
      <w:r>
        <w:rPr>
          <w:rFonts w:hint="eastAsia" w:ascii="Times New Roman" w:hAnsi="Times New Roman" w:eastAsia="楷体_GB2312" w:cs="Times New Roman"/>
          <w:kern w:val="0"/>
          <w:sz w:val="32"/>
          <w:szCs w:val="32"/>
          <w:lang w:bidi="en-US"/>
        </w:rPr>
        <w:t>三</w:t>
      </w:r>
      <w:r>
        <w:rPr>
          <w:rFonts w:ascii="Times New Roman" w:hAnsi="Times New Roman" w:eastAsia="楷体_GB2312" w:cs="Times New Roman"/>
          <w:kern w:val="0"/>
          <w:sz w:val="32"/>
          <w:szCs w:val="32"/>
          <w:lang w:bidi="en-US"/>
        </w:rPr>
        <w:t>节  建设区域消费中心</w:t>
      </w:r>
      <w:bookmarkEnd w:id="53"/>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充分发挥消费对于扩大内需的基础性作用，顺应消费升级趋势，提升传统消费、培育新型消费、增加公共消费，持续释放消费需求和消费活力，形成消费升级引领供给创新、供给提升创造消费新增长点的良性循环。</w:t>
      </w:r>
    </w:p>
    <w:p>
      <w:pPr>
        <w:widowControl w:val="0"/>
        <w:wordWrap/>
        <w:adjustRightInd/>
        <w:snapToGrid/>
        <w:spacing w:line="640" w:lineRule="exact"/>
        <w:ind w:left="0" w:leftChars="0" w:right="0" w:firstLine="643"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发挥传统消费主体作用。</w:t>
      </w:r>
      <w:r>
        <w:rPr>
          <w:rFonts w:ascii="Times New Roman" w:hAnsi="Times New Roman" w:eastAsia="仿宋_GB2312" w:cs="Times New Roman"/>
          <w:sz w:val="32"/>
          <w:szCs w:val="32"/>
        </w:rPr>
        <w:t>结合城区发展布局，加快推进南风百货、百货大楼、供销大楼等成熟商圈上档升级，形成市域消费中心。优化百货商场、购物超市等规划布局，引导行业适度集中，避免无序竞争。大力发展便利店、社区菜店等社区商业，积极推进城乡便民消费服务中心的建设，推动传统的中小型百货商场向集超市、餐饮、教育、培训、娱乐、文体、健康等为一体的邻里型社区服务中心转变，构建便民服务消费圈。大力推动新一轮汽车促销和家电更新消费，积极扩大餐饮消费，促进住房消费健康发展。合理增加教育、医疗卫生、公共文化体育等领域的公共消费支出。</w:t>
      </w:r>
    </w:p>
    <w:p>
      <w:pPr>
        <w:widowControl w:val="0"/>
        <w:wordWrap/>
        <w:adjustRightInd/>
        <w:snapToGrid/>
        <w:spacing w:line="640" w:lineRule="exact"/>
        <w:ind w:left="0" w:leftChars="0" w:right="0" w:firstLine="643"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加快发展新型消费。</w:t>
      </w:r>
      <w:r>
        <w:rPr>
          <w:rFonts w:ascii="Times New Roman" w:hAnsi="Times New Roman" w:eastAsia="仿宋_GB2312" w:cs="Times New Roman"/>
          <w:sz w:val="32"/>
          <w:szCs w:val="32"/>
        </w:rPr>
        <w:t>鼓励线上线下融合等新消费模式发展，完善“互联网+”消费生态体系，鼓励建设“智慧商店”“智慧街区”“智慧商圈”，促进线上线下互动、商旅文体协同。积极推进永济名优特农副产品网上销售。深入推进城乡高效配送专项行动，实施“邮政在乡”、升级“快递下乡”，丰富适合农村消费者的商品供给。大力发展“互联网+社会服务”消费模式，鼓励把文化消费嵌入各类消费场所，促进城市假日和夜间消费。</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建设特色消费示范区。</w:t>
      </w:r>
      <w:r>
        <w:rPr>
          <w:rFonts w:ascii="Times New Roman" w:hAnsi="Times New Roman" w:eastAsia="仿宋_GB2312" w:cs="Times New Roman"/>
          <w:sz w:val="32"/>
          <w:szCs w:val="32"/>
        </w:rPr>
        <w:t>建设符合晋南城乡居民消费习惯、品质品种的各种类型、多业态融合消费示范区，积极申报创建国家和省级信息消费试点示范城市、文化和旅游消费示范城市。鼓励消费示范区建设集合文创商店、特色书店、小剧场、文化娱乐场所等多种业态的消费集聚地。积极开展优秀消费网点评选，打造中小型、主题性、特色类的文化旅游演艺产品，推出凸显永济历史文化的实景剧，建设集购物、餐饮、休闲、娱乐、体验等功能于一体的多层次、多元化夜间文旅消费集聚区。</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完善促进消费体制机制。</w:t>
      </w:r>
      <w:r>
        <w:rPr>
          <w:rFonts w:ascii="Times New Roman" w:hAnsi="Times New Roman" w:eastAsia="仿宋_GB2312" w:cs="Times New Roman"/>
          <w:sz w:val="32"/>
          <w:szCs w:val="32"/>
        </w:rPr>
        <w:t>促进重点群体增收激发消费潜力，大规模开展职业技能培训，提升工资性收入水平，稳定和增加居民财产性收入，挖掘新型农业经营主体增收潜力。落实带薪休假制度，带动节假日消费。强化消费者权益保护，健全投诉维权机制，营造安全便利的消费环境，保障消费者的知情权和选择权。引导企业构建以现代信息技术为支撑的产品追溯体系，强化全过程质量安全管理与风险控制。</w:t>
      </w:r>
    </w:p>
    <w:p>
      <w:pPr>
        <w:spacing w:beforeLines="50" w:afterLines="50"/>
        <w:jc w:val="center"/>
        <w:outlineLvl w:val="1"/>
        <w:rPr>
          <w:rFonts w:ascii="Times New Roman" w:hAnsi="Times New Roman" w:eastAsia="楷体_GB2312" w:cs="Times New Roman"/>
          <w:kern w:val="0"/>
          <w:sz w:val="32"/>
          <w:szCs w:val="32"/>
          <w:lang w:bidi="en-US"/>
        </w:rPr>
      </w:pPr>
      <w:bookmarkStart w:id="54" w:name="_Toc68253233"/>
      <w:r>
        <w:rPr>
          <w:rFonts w:ascii="Times New Roman" w:hAnsi="Times New Roman" w:eastAsia="楷体_GB2312" w:cs="Times New Roman"/>
          <w:kern w:val="0"/>
          <w:sz w:val="32"/>
          <w:szCs w:val="32"/>
          <w:lang w:bidi="en-US"/>
        </w:rPr>
        <w:t>第</w:t>
      </w:r>
      <w:r>
        <w:rPr>
          <w:rFonts w:hint="eastAsia" w:ascii="Times New Roman" w:hAnsi="Times New Roman" w:eastAsia="楷体_GB2312" w:cs="Times New Roman"/>
          <w:kern w:val="0"/>
          <w:sz w:val="32"/>
          <w:szCs w:val="32"/>
          <w:lang w:bidi="en-US"/>
        </w:rPr>
        <w:t>四</w:t>
      </w:r>
      <w:r>
        <w:rPr>
          <w:rFonts w:ascii="Times New Roman" w:hAnsi="Times New Roman" w:eastAsia="楷体_GB2312" w:cs="Times New Roman"/>
          <w:kern w:val="0"/>
          <w:sz w:val="32"/>
          <w:szCs w:val="32"/>
          <w:lang w:bidi="en-US"/>
        </w:rPr>
        <w:t>节  持续优化营商环境</w:t>
      </w:r>
      <w:bookmarkEnd w:id="54"/>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对标“六最”营商环境要求，把提高政务服务质量作为创优营商环境的突破口，</w:t>
      </w:r>
      <w:r>
        <w:rPr>
          <w:rFonts w:hint="eastAsia" w:ascii="Times New Roman" w:hAnsi="Times New Roman" w:eastAsia="仿宋_GB2312" w:cs="Times New Roman"/>
          <w:sz w:val="32"/>
          <w:szCs w:val="32"/>
        </w:rPr>
        <w:t>持续开展“作风转变年”活动，</w:t>
      </w:r>
      <w:r>
        <w:rPr>
          <w:rFonts w:ascii="Times New Roman" w:hAnsi="Times New Roman" w:eastAsia="仿宋_GB2312" w:cs="Times New Roman"/>
          <w:sz w:val="32"/>
          <w:szCs w:val="32"/>
        </w:rPr>
        <w:t>大力推行“互联网+政务服务”，加快政务服务和行政审批信息化、便利化、标准化、高效化</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全方位构建高质量发展的良好生态，着力把永济打造成投资洼地，</w:t>
      </w:r>
      <w:r>
        <w:rPr>
          <w:rFonts w:ascii="Times New Roman" w:hAnsi="Times New Roman" w:eastAsia="仿宋_GB2312" w:cs="Times New Roman"/>
          <w:sz w:val="32"/>
          <w:szCs w:val="32"/>
        </w:rPr>
        <w:t>不断提升市场主体获得感。</w:t>
      </w:r>
    </w:p>
    <w:p>
      <w:pPr>
        <w:ind w:firstLine="643" w:firstLineChars="200"/>
        <w:jc w:val="both"/>
        <w:rPr>
          <w:rStyle w:val="29"/>
          <w:rFonts w:ascii="Times New Roman" w:hAnsi="Times New Roman" w:eastAsia="仿宋_GB2312" w:cs="Times New Roman"/>
          <w:sz w:val="32"/>
          <w:szCs w:val="32"/>
        </w:rPr>
      </w:pPr>
      <w:r>
        <w:rPr>
          <w:rFonts w:ascii="Times New Roman" w:hAnsi="Times New Roman" w:eastAsia="仿宋_GB2312" w:cs="Times New Roman"/>
          <w:b/>
          <w:bCs/>
          <w:sz w:val="32"/>
          <w:szCs w:val="32"/>
        </w:rPr>
        <w:t>加快政务服务和行政审批信息化。</w:t>
      </w:r>
      <w:r>
        <w:rPr>
          <w:rFonts w:ascii="Times New Roman" w:hAnsi="Times New Roman" w:eastAsia="仿宋_GB2312" w:cs="Times New Roman"/>
          <w:sz w:val="32"/>
          <w:szCs w:val="32"/>
        </w:rPr>
        <w:t>按照“应上尽上、应接尽接、应传尽传”的原则，加快我市一体化平台与部门自建业务系统对接，全力打通堵点难点，重点围绕办好一件事，加快实现“一网通办”。</w:t>
      </w:r>
      <w:r>
        <w:rPr>
          <w:rStyle w:val="29"/>
          <w:rFonts w:ascii="Times New Roman" w:hAnsi="Times New Roman" w:eastAsia="仿宋_GB2312" w:cs="Times New Roman"/>
          <w:sz w:val="32"/>
          <w:szCs w:val="32"/>
        </w:rPr>
        <w:t>依托省、市政务云平台，开展基础设施共享共用，完成政务信息系统向政务云平台迁移。拓展网上办事广度和深度，延长网上办事链条，全面实现“一网通办”和“五统一”，推动80%以上事项实现“网上办”。到2025年，形成上接市级省级、下联镇村、横向到边、纵向到底全覆盖的数字政府。</w:t>
      </w:r>
    </w:p>
    <w:p>
      <w:pPr>
        <w:widowControl w:val="0"/>
        <w:wordWrap/>
        <w:adjustRightInd/>
        <w:snapToGrid/>
        <w:spacing w:line="660" w:lineRule="exact"/>
        <w:ind w:left="0" w:leftChars="0" w:right="0" w:firstLine="643" w:firstLineChars="200"/>
        <w:jc w:val="both"/>
        <w:textAlignment w:val="auto"/>
        <w:outlineLvl w:val="9"/>
        <w:rPr>
          <w:rFonts w:ascii="Times New Roman" w:hAnsi="Times New Roman" w:eastAsia="仿宋_GB2312" w:cs="Times New Roman"/>
        </w:rPr>
      </w:pPr>
      <w:r>
        <w:rPr>
          <w:rFonts w:ascii="Times New Roman" w:hAnsi="Times New Roman" w:eastAsia="仿宋_GB2312" w:cs="Times New Roman"/>
          <w:b/>
          <w:bCs/>
          <w:sz w:val="32"/>
          <w:szCs w:val="32"/>
        </w:rPr>
        <w:t>加快政务服务和行政审批便利化。</w:t>
      </w:r>
      <w:r>
        <w:rPr>
          <w:rFonts w:ascii="Times New Roman" w:hAnsi="Times New Roman" w:eastAsia="仿宋_GB2312" w:cs="Times New Roman"/>
          <w:sz w:val="32"/>
          <w:szCs w:val="32"/>
        </w:rPr>
        <w:t>推动“一链办理”便民化服务，推动审批模式从“事项办”向“服务场景”转变，提升办事群众的体验感和幸福感。</w:t>
      </w:r>
      <w:r>
        <w:rPr>
          <w:rStyle w:val="29"/>
          <w:rFonts w:ascii="Times New Roman" w:hAnsi="Times New Roman" w:eastAsia="仿宋_GB2312" w:cs="Times New Roman"/>
          <w:sz w:val="32"/>
          <w:szCs w:val="32"/>
        </w:rPr>
        <w:t>鼓励推行惠企政策“免申即享”，加快实现一次申报、全程网办、快速兑现。开发“套餐式”服务系统，突破单个事项办理的繁琐场景，建设“网上集中收件、网络自动分送、协办科室同步办理、网上出证办结”的办理模式。</w:t>
      </w:r>
      <w:r>
        <w:rPr>
          <w:rFonts w:ascii="Times New Roman" w:hAnsi="Times New Roman" w:eastAsia="仿宋_GB2312" w:cs="Times New Roman"/>
          <w:sz w:val="32"/>
          <w:szCs w:val="32"/>
        </w:rPr>
        <w:t>以“小事不出村、大事不出镇”为目标，加强“三级联动”一体化服务，实行办事窗口前移，推进“就近可办、多点可办”。全面实施周末便民窗口，最大限度方便企业和群众。</w:t>
      </w:r>
    </w:p>
    <w:p>
      <w:pPr>
        <w:ind w:firstLine="643" w:firstLineChars="200"/>
        <w:jc w:val="both"/>
        <w:rPr>
          <w:rStyle w:val="29"/>
          <w:rFonts w:ascii="Times New Roman" w:hAnsi="Times New Roman" w:eastAsia="仿宋_GB2312" w:cs="Times New Roman"/>
          <w:sz w:val="32"/>
          <w:szCs w:val="32"/>
        </w:rPr>
      </w:pPr>
      <w:r>
        <w:rPr>
          <w:rFonts w:ascii="Times New Roman" w:hAnsi="Times New Roman" w:eastAsia="仿宋_GB2312" w:cs="Times New Roman"/>
          <w:b/>
          <w:bCs/>
          <w:sz w:val="32"/>
          <w:szCs w:val="32"/>
        </w:rPr>
        <w:t>加快政务服务和行政审批标准化。</w:t>
      </w:r>
      <w:r>
        <w:rPr>
          <w:rStyle w:val="29"/>
          <w:rFonts w:ascii="Times New Roman" w:hAnsi="Times New Roman" w:eastAsia="仿宋_GB2312" w:cs="Times New Roman"/>
          <w:sz w:val="32"/>
          <w:szCs w:val="32"/>
        </w:rPr>
        <w:t>健全行政审批和公共服务事项目录、各部门行政权力事项清单更新调整机制，依托政府门户网站集中公开发布。编制镇（街道）行政审批和服务事项目录，启动服务事项编码管理，规范全市服务事项名称、条件、材料、流程、时限等，做到“同一事项、同一标准、同一编码”。</w:t>
      </w:r>
    </w:p>
    <w:p>
      <w:pPr>
        <w:ind w:firstLine="643" w:firstLineChars="200"/>
        <w:jc w:val="both"/>
        <w:rPr>
          <w:rStyle w:val="29"/>
          <w:rFonts w:ascii="Times New Roman" w:hAnsi="Times New Roman" w:eastAsia="仿宋_GB2312" w:cs="Times New Roman"/>
          <w:sz w:val="32"/>
          <w:szCs w:val="32"/>
        </w:rPr>
      </w:pPr>
      <w:r>
        <w:rPr>
          <w:rFonts w:ascii="Times New Roman" w:hAnsi="Times New Roman" w:eastAsia="仿宋_GB2312" w:cs="Times New Roman"/>
          <w:b/>
          <w:bCs/>
          <w:sz w:val="32"/>
          <w:szCs w:val="32"/>
        </w:rPr>
        <w:t>加快政务服务和行政审批高效化。</w:t>
      </w:r>
      <w:r>
        <w:rPr>
          <w:rStyle w:val="29"/>
          <w:rFonts w:ascii="Times New Roman" w:hAnsi="Times New Roman" w:eastAsia="仿宋_GB2312" w:cs="Times New Roman"/>
          <w:sz w:val="32"/>
          <w:szCs w:val="32"/>
        </w:rPr>
        <w:t>深化“一窗受理”集成化服务，推行“一窗受理、集成服务”的服务模式。推动将更多行政审批事项划转行政审批局行使，实现审批事项应划尽划。深化投资项目承诺制和工程建设项目审批制度改革，推行容缺审批、承诺审批、模拟审批等新模式。推动企业开办实现全程电子化网上办理和“不见面”审批。</w:t>
      </w:r>
    </w:p>
    <w:p>
      <w:pPr>
        <w:ind w:firstLine="640" w:firstLineChars="200"/>
        <w:jc w:val="both"/>
        <w:rPr>
          <w:rFonts w:ascii="Times New Roman" w:hAnsi="Times New Roman" w:eastAsia="仿宋_GB2312" w:cs="Times New Roman"/>
          <w:color w:val="000000"/>
          <w:sz w:val="32"/>
          <w:szCs w:val="32"/>
        </w:rPr>
      </w:pPr>
    </w:p>
    <w:p>
      <w:pPr>
        <w:spacing w:before="312" w:after="312"/>
        <w:jc w:val="both"/>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beforeLines="100" w:afterLines="100"/>
        <w:jc w:val="center"/>
        <w:outlineLvl w:val="0"/>
        <w:rPr>
          <w:rFonts w:ascii="Times New Roman" w:hAnsi="Times New Roman" w:eastAsia="黑体" w:cs="Times New Roman"/>
          <w:sz w:val="32"/>
          <w:szCs w:val="32"/>
        </w:rPr>
      </w:pPr>
      <w:bookmarkStart w:id="55" w:name="_Toc68253234"/>
      <w:r>
        <w:rPr>
          <w:rFonts w:ascii="Times New Roman" w:hAnsi="Times New Roman" w:eastAsia="黑体" w:cs="Times New Roman"/>
          <w:sz w:val="32"/>
          <w:szCs w:val="32"/>
        </w:rPr>
        <w:t>第三章  深入实施工业强市战略，全面构建现代</w:t>
      </w:r>
      <w:r>
        <w:rPr>
          <w:rFonts w:hint="eastAsia" w:ascii="Times New Roman" w:hAnsi="Times New Roman" w:eastAsia="黑体" w:cs="Times New Roman"/>
          <w:sz w:val="32"/>
          <w:szCs w:val="32"/>
        </w:rPr>
        <w:t>产</w:t>
      </w:r>
      <w:r>
        <w:rPr>
          <w:rFonts w:ascii="Times New Roman" w:hAnsi="Times New Roman" w:eastAsia="黑体" w:cs="Times New Roman"/>
          <w:sz w:val="32"/>
          <w:szCs w:val="32"/>
        </w:rPr>
        <w:t>业体系</w:t>
      </w:r>
      <w:bookmarkEnd w:id="55"/>
    </w:p>
    <w:p>
      <w:pPr>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牢固树立工业强市、工业立市理念，进一步丰富完善“3+2”产业体系，坚持一手抓优势产业扩能增效，一手抓新兴产业培育壮大，加快形成以机电制造产业、铝精深加工产业、农副产品加工产业、风电设备制造维修产业、化工装备制造产业、高端印染包装业6个优势产业为基础，新能源汽车产业、航天科技产业、光电产业、新能源轨道交通装备制造产业、生物医药制药产业5个新兴产业为动力的“六强五新”转型发展格局，打造5个以上百亿级产业集群，加快发展现代服务业，构建具有永济特色的现代产业体系，筑牢高质量转型发展的“底盘”。</w:t>
      </w:r>
    </w:p>
    <w:p>
      <w:pPr>
        <w:spacing w:beforeLines="50" w:afterLines="50"/>
        <w:jc w:val="center"/>
        <w:outlineLvl w:val="1"/>
        <w:rPr>
          <w:rFonts w:ascii="Times New Roman" w:hAnsi="Times New Roman" w:eastAsia="楷体_GB2312" w:cs="Times New Roman"/>
          <w:kern w:val="0"/>
          <w:sz w:val="32"/>
          <w:szCs w:val="32"/>
          <w:lang w:bidi="en-US"/>
        </w:rPr>
      </w:pPr>
      <w:bookmarkStart w:id="56" w:name="_Toc68253235"/>
      <w:r>
        <w:rPr>
          <w:rFonts w:ascii="Times New Roman" w:hAnsi="Times New Roman" w:eastAsia="楷体_GB2312" w:cs="Times New Roman"/>
          <w:kern w:val="0"/>
          <w:sz w:val="32"/>
          <w:szCs w:val="32"/>
          <w:lang w:bidi="en-US"/>
        </w:rPr>
        <w:t>第一节  构建</w:t>
      </w:r>
      <w:r>
        <w:rPr>
          <w:rFonts w:hint="eastAsia" w:ascii="Times New Roman" w:hAnsi="Times New Roman" w:eastAsia="楷体_GB2312" w:cs="Times New Roman"/>
          <w:kern w:val="0"/>
          <w:sz w:val="32"/>
          <w:szCs w:val="32"/>
          <w:lang w:bidi="en-US"/>
        </w:rPr>
        <w:t>“六强五新”产业格局</w:t>
      </w:r>
      <w:bookmarkEnd w:id="56"/>
    </w:p>
    <w:p>
      <w:pPr>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立足我市工业企业基础，聚焦“六新”领域，坚持“固本、培新、提质、增效”的发展思路，聚焦产业链关键环节，大力推进招商引资、项目建设，补齐短板、锻造长板、铸造新板，增强产业链稳定性和竞争力，加快构建起具有永济特色的产业新格局</w:t>
      </w:r>
      <w:r>
        <w:rPr>
          <w:rFonts w:ascii="Times New Roman" w:hAnsi="Times New Roman" w:eastAsia="仿宋_GB2312" w:cs="Times New Roman"/>
          <w:sz w:val="32"/>
          <w:szCs w:val="32"/>
        </w:rPr>
        <w:t>。</w:t>
      </w:r>
    </w:p>
    <w:p>
      <w:pPr>
        <w:ind w:firstLine="643" w:firstLineChars="200"/>
        <w:jc w:val="both"/>
        <w:rPr>
          <w:rFonts w:ascii="Times New Roman" w:hAnsi="Times New Roman" w:eastAsia="仿宋_GB2312" w:cs="Times New Roman"/>
          <w:sz w:val="32"/>
        </w:rPr>
      </w:pPr>
      <w:r>
        <w:rPr>
          <w:rFonts w:hint="eastAsia" w:ascii="Times New Roman" w:hAnsi="Times New Roman" w:eastAsia="仿宋_GB2312" w:cs="Times New Roman"/>
          <w:b/>
          <w:bCs/>
          <w:sz w:val="32"/>
        </w:rPr>
        <w:t>做大做强六个优势产业。</w:t>
      </w:r>
      <w:r>
        <w:rPr>
          <w:rFonts w:hint="eastAsia" w:ascii="Times New Roman" w:hAnsi="Times New Roman" w:eastAsia="仿宋_GB2312" w:cs="Times New Roman"/>
          <w:sz w:val="32"/>
        </w:rPr>
        <w:t>发挥中车永济电机龙头牵引作用，加快推进新康机械、优耐特等项目建设，推动产业链条纵向延伸、横向配套，推动机电制造产业发展壮大。全力推进华圣铝业重启复工，大力发展汽车轻量化零配件、工业用铝、特种铝等产品，全面振兴铝深加工产业。加快山西大象集团肉鸡饲养加工等项目建设，积极推进忠民集团资产重组，推动农产品由粗加工向精加工、由低端向高端迈进，提高产品附加值，重振农副产品加工产业。加快推进大型机电检测检修平台、合信锐风风力发电机维修维护基地等项目建设，建设全国一流的风电设备研发、制造、维修基地。积极促进丰喜化机产能回归、产业回迁，大力发展化工装备制造产业，努力形成新的经济增长极。鼓励凯通、彩佳、恒誉彩印等公司，建立技术研发中心，提升企业产品竞争力，实现高端印染包装业高端化发展。</w:t>
      </w:r>
    </w:p>
    <w:p>
      <w:pPr>
        <w:widowControl w:val="0"/>
        <w:wordWrap/>
        <w:adjustRightInd/>
        <w:snapToGrid/>
        <w:spacing w:line="600" w:lineRule="exact"/>
        <w:ind w:left="0" w:leftChars="0" w:right="0" w:firstLine="643" w:firstLineChars="200"/>
        <w:jc w:val="both"/>
        <w:textAlignment w:val="auto"/>
        <w:outlineLvl w:val="9"/>
        <w:rPr>
          <w:rFonts w:ascii="Times New Roman" w:hAnsi="Times New Roman" w:eastAsia="仿宋_GB2312" w:cs="Times New Roman"/>
          <w:sz w:val="32"/>
        </w:rPr>
      </w:pPr>
      <w:r>
        <w:rPr>
          <w:rFonts w:hint="eastAsia" w:ascii="Times New Roman" w:hAnsi="Times New Roman" w:eastAsia="仿宋_GB2312" w:cs="Times New Roman"/>
          <w:b/>
          <w:bCs/>
          <w:sz w:val="32"/>
        </w:rPr>
        <w:t>培育壮大五个新兴产业。</w:t>
      </w:r>
      <w:r>
        <w:rPr>
          <w:rFonts w:hint="eastAsia" w:ascii="Times New Roman" w:hAnsi="Times New Roman" w:eastAsia="仿宋_GB2312" w:cs="Times New Roman"/>
          <w:sz w:val="32"/>
        </w:rPr>
        <w:t>抢抓汽车更新换代的良好机遇，加快推进蓝科途高端锂电池隔膜、正负极材料、新能源汽车电机电控、折叠集装箱等项目，逐步建立完善新能源汽车生产链条，打造中部地区新能源汽车零部件产业的集聚地。紧跟国际科技发展前沿，依托光府科技高能激光武器项目、三晋宇航火箭发动机项目、无人机项目等，推动以商招商，持续引进一批军民融合及相关配套产业项目，打造航天科技产业园，发展航天科技产业。依托穿越光电，引进实施一批光电科技产业及相关配套项目，推动OLED有机发光材料、光电器件、光电显示屏、钙钛矿太阳能电池等全产业链发展，引进一批透明导电薄膜、柔性封装材料、蒸镀设备、OLED显示模组及照明器件等研发和制造企业，加快形成光电产业集群。抢抓国内城市轨道交通快速发展机遇，加快实施中辆新能源有轨电车及装备制造项目、轨道交通工程研发中心建设和轨道交通装备双创平台建设，大力发展新能源轨道交通装备制造产业，着力把永济打造成全国轨道交通和电机制造产业集聚区。立足我市药材资源优势，抢抓大健康产业发展机遇，加快康意制药重整，支持德济药业、东兴生物科技、和众生物科技有限公司等，大力发展生物医药产业，加快形成新动能。</w:t>
      </w:r>
    </w:p>
    <w:p>
      <w:pPr>
        <w:pStyle w:val="17"/>
        <w:widowControl w:val="0"/>
        <w:wordWrap/>
        <w:adjustRightInd/>
        <w:snapToGrid/>
        <w:spacing w:after="160" w:afterLines="50" w:line="600" w:lineRule="exact"/>
        <w:ind w:left="0" w:leftChars="0" w:right="0" w:firstLine="643" w:firstLineChars="200"/>
        <w:jc w:val="both"/>
        <w:textAlignment w:val="auto"/>
        <w:outlineLvl w:val="9"/>
      </w:pPr>
      <w:r>
        <w:rPr>
          <w:rFonts w:hint="eastAsia" w:ascii="Times New Roman" w:hAnsi="Times New Roman" w:eastAsia="仿宋_GB2312"/>
          <w:b/>
          <w:bCs/>
          <w:color w:val="000000"/>
          <w:sz w:val="32"/>
          <w:szCs w:val="32"/>
        </w:rPr>
        <w:t>超前</w:t>
      </w:r>
      <w:r>
        <w:rPr>
          <w:rFonts w:ascii="Times New Roman" w:hAnsi="Times New Roman" w:eastAsia="仿宋_GB2312"/>
          <w:b/>
          <w:bCs/>
          <w:color w:val="000000"/>
          <w:sz w:val="32"/>
          <w:szCs w:val="32"/>
        </w:rPr>
        <w:t>谋划布局未来产业。</w:t>
      </w:r>
      <w:r>
        <w:rPr>
          <w:rFonts w:ascii="Times New Roman" w:hAnsi="Times New Roman" w:eastAsia="仿宋_GB2312"/>
          <w:sz w:val="32"/>
        </w:rPr>
        <w:t>按照“未来技术产业化”和“现有产业未来化”思路，超前布局未来数字经济、人工智能</w:t>
      </w:r>
      <w:r>
        <w:rPr>
          <w:rFonts w:ascii="Times New Roman" w:hAnsi="Times New Roman" w:eastAsia="仿宋_GB2312"/>
          <w:sz w:val="32"/>
          <w:szCs w:val="32"/>
        </w:rPr>
        <w:t>、生命科学等前沿科技产业，</w:t>
      </w:r>
      <w:r>
        <w:rPr>
          <w:rFonts w:ascii="Times New Roman" w:hAnsi="Times New Roman" w:eastAsia="仿宋_GB2312"/>
          <w:sz w:val="32"/>
        </w:rPr>
        <w:t>夯实未来产业发展基础，力争用10-15年的时间，实现未来产业“从无到有”、“从小到大”、“从弱到强”的转变。</w:t>
      </w:r>
      <w:r>
        <w:rPr>
          <w:rFonts w:ascii="Times New Roman" w:hAnsi="Times New Roman" w:eastAsia="仿宋_GB2312"/>
          <w:color w:val="000000"/>
          <w:sz w:val="32"/>
          <w:szCs w:val="32"/>
        </w:rPr>
        <w:t>积极推动人工智能产业发展，加快人工智能技术的应用、融合和提升，推动智能家居、智能汽车、智慧农业、智能安防、智慧健康、智能机器人、智能可穿戴设备等研发和产业化发展。</w:t>
      </w:r>
      <w:r>
        <w:rPr>
          <w:rStyle w:val="29"/>
          <w:rFonts w:ascii="Times New Roman" w:hAnsi="Times New Roman" w:eastAsia="仿宋_GB2312"/>
          <w:color w:val="000000"/>
          <w:sz w:val="32"/>
          <w:szCs w:val="32"/>
        </w:rPr>
        <w:t>引进国内高水平生物研发机构、研发平台、研发团队，加速推动未来医学、未来农业等产业变革。</w:t>
      </w:r>
      <w:r>
        <w:rPr>
          <w:rFonts w:ascii="Times New Roman" w:hAnsi="Times New Roman" w:eastAsia="仿宋_GB2312"/>
          <w:color w:val="000000"/>
          <w:sz w:val="32"/>
          <w:szCs w:val="32"/>
        </w:rPr>
        <w:t>探索利用区块链技术在经济社会发展中的应用。</w:t>
      </w:r>
    </w:p>
    <w:tbl>
      <w:tblPr>
        <w:tblStyle w:val="19"/>
        <w:tblW w:w="8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900" w:type="dxa"/>
            <w:vAlign w:val="top"/>
          </w:tcPr>
          <w:p>
            <w:pPr>
              <w:jc w:val="both"/>
              <w:rPr>
                <w:rFonts w:ascii="Times New Roman" w:hAnsi="Times New Roman" w:eastAsia="楷体_GB2312" w:cs="Times New Roman"/>
                <w:sz w:val="28"/>
                <w:szCs w:val="28"/>
              </w:rPr>
            </w:pPr>
            <w:r>
              <w:rPr>
                <w:rFonts w:ascii="Times New Roman" w:hAnsi="Times New Roman" w:eastAsia="黑体" w:cs="Times New Roman"/>
                <w:sz w:val="28"/>
                <w:szCs w:val="28"/>
              </w:rPr>
              <w:t>专栏</w:t>
            </w:r>
            <w:r>
              <w:rPr>
                <w:rFonts w:hint="eastAsia" w:ascii="Times New Roman" w:hAnsi="Times New Roman" w:eastAsia="黑体" w:cs="Times New Roman"/>
                <w:sz w:val="28"/>
                <w:szCs w:val="28"/>
              </w:rPr>
              <w:t>4</w:t>
            </w:r>
            <w:r>
              <w:rPr>
                <w:rFonts w:ascii="Times New Roman" w:hAnsi="Times New Roman" w:eastAsia="黑体" w:cs="Times New Roman"/>
                <w:sz w:val="28"/>
                <w:szCs w:val="28"/>
              </w:rPr>
              <w:t>：“</w:t>
            </w:r>
            <w:r>
              <w:rPr>
                <w:rFonts w:hint="eastAsia" w:ascii="Times New Roman" w:hAnsi="Times New Roman" w:eastAsia="黑体" w:cs="Times New Roman"/>
                <w:sz w:val="28"/>
                <w:szCs w:val="28"/>
              </w:rPr>
              <w:t>六强五新</w:t>
            </w:r>
            <w:r>
              <w:rPr>
                <w:rFonts w:ascii="Times New Roman" w:hAnsi="Times New Roman" w:eastAsia="黑体" w:cs="Times New Roman"/>
                <w:sz w:val="28"/>
                <w:szCs w:val="28"/>
              </w:rPr>
              <w:t>”产业</w:t>
            </w:r>
            <w:r>
              <w:rPr>
                <w:rFonts w:hint="eastAsia" w:ascii="Times New Roman" w:hAnsi="Times New Roman" w:eastAsia="黑体" w:cs="Times New Roman"/>
                <w:sz w:val="28"/>
                <w:szCs w:val="28"/>
              </w:rPr>
              <w:t>格局</w:t>
            </w:r>
            <w:r>
              <w:rPr>
                <w:rFonts w:ascii="Times New Roman" w:hAnsi="Times New Roman" w:eastAsia="黑体" w:cs="Times New Roman"/>
                <w:sz w:val="28"/>
                <w:szCs w:val="28"/>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900" w:type="dxa"/>
            <w:vAlign w:val="top"/>
          </w:tcPr>
          <w:p>
            <w:pPr>
              <w:adjustRightInd w:val="0"/>
              <w:snapToGrid w:val="0"/>
              <w:spacing w:beforeLines="50"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机电制造产业。</w:t>
            </w:r>
            <w:r>
              <w:rPr>
                <w:rFonts w:hint="eastAsia" w:ascii="方正小标宋简体" w:hAnsi="方正小标宋简体" w:eastAsia="方正小标宋简体" w:cs="方正小标宋简体"/>
                <w:szCs w:val="21"/>
              </w:rPr>
              <w:t>泰诺博锐隧道设备整体搬迁项目、中辆新能源有轨电车及装备制造项目、海达机械年产6万米绝缘带生产线项目、瑞丰机电大型风力发电机数字化平台装备项目、富迈机电整体搬迁项目、精密减速器制造项目、电机配件铸造项目、中车永济电机IGBT生产线回迁项目、轨道交通传动系统生产项目、机车电控产品生产项目、小企业机电配套加工创业基地标准化厂房项目、永济电机厂轨道车建设项目、电机配套产品铸造安全生产管理技改项目、永济电机柔性智能生产线技改项目、电机配套企业“机器换人”智能制造技改项目、年产40万台伺服控制电机项目、年产2万台大中型电机生产线项目、家用电器微型电机项目、防爆电机研发生产项目、高速列车制动系统生产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铝精深加工产业。</w:t>
            </w:r>
            <w:r>
              <w:rPr>
                <w:rFonts w:hint="eastAsia" w:ascii="方正小标宋简体" w:hAnsi="方正小标宋简体" w:eastAsia="方正小标宋简体" w:cs="方正小标宋简体"/>
                <w:szCs w:val="21"/>
              </w:rPr>
              <w:t>山西华隆钣金产品数字化加工项目、铝合金汽车轮毂项目、年产50万个汽车铝部件压铸生产线项目、轨道交通铝材深加工项目等。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农副产品加工产业。</w:t>
            </w:r>
            <w:r>
              <w:rPr>
                <w:rFonts w:hint="eastAsia" w:ascii="方正小标宋简体" w:hAnsi="方正小标宋简体" w:eastAsia="方正小标宋简体" w:cs="方正小标宋简体"/>
                <w:szCs w:val="21"/>
              </w:rPr>
              <w:t>永济面食集团产业园建设项目、冠宇食品60万头生猪屠宰深加工扩建及万吨国家肉类储备库项目、牧原集团30万吨饲料加工厂项目、世邦农业现代中药健康产业园项目、海大集团永济市现代数字渔业产业链项目、河东葫芦文化创意园农文旅产业融合提档升级项目、长荣嘉吉24万吨饲料厂项目、乳品加工厂建设项目、保健酒研发及深加工项目、葡萄酒系列产品研发及深加工项目、速冻饺子研发及深加工项目、冻干果蔬生产线建设项目、核桃系列产品研发及深加工项目、药茶系列产品研发及深加工项目、柿子系列产品研发及深加工项目、高低温肉制品加工项目、薰衣草系列产品研发及深加工项目、香椿、果木秸秆粉碎深加工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风电设备制造维修产业。</w:t>
            </w:r>
            <w:r>
              <w:rPr>
                <w:rFonts w:hint="eastAsia" w:ascii="方正小标宋简体" w:hAnsi="方正小标宋简体" w:eastAsia="方正小标宋简体" w:cs="方正小标宋简体"/>
                <w:szCs w:val="21"/>
              </w:rPr>
              <w:t>开发区大型电机检测检修平台建设项目、合信锐风风力发电机维修维护基地建设项目、正鑫风电及自动化设备制造维修生产线项目、风电设备运维检修项目、风电机组维修平台的建设和应用项目、风电机组检修虚拟实训系统建设项目、风电大型部件维修项目、风电叶片制造及防护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化工装备制造产业。</w:t>
            </w:r>
            <w:r>
              <w:rPr>
                <w:rFonts w:hint="eastAsia" w:ascii="方正小标宋简体" w:hAnsi="方正小标宋简体" w:eastAsia="方正小标宋简体" w:cs="方正小标宋简体"/>
                <w:szCs w:val="21"/>
              </w:rPr>
              <w:t>丰喜化机项目。</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高端印染包装业。</w:t>
            </w:r>
            <w:r>
              <w:rPr>
                <w:rFonts w:hint="eastAsia" w:ascii="方正小标宋简体" w:hAnsi="方正小标宋简体" w:eastAsia="方正小标宋简体" w:cs="方正小标宋简体"/>
                <w:szCs w:val="21"/>
              </w:rPr>
              <w:t>恒誉彩印公司年产1000吨彩印包装生产线项目、年产20亿只新型环保包装袋项目、年织造染整15000吨高档数码针织面料项目、特色粗布生产及加工项目、智能纺织10万锭先进纺纱项目、高端纤维复合材料生产及研发项目、年产500万套标准服装项目、年产15万吨多功能高品质纺织新材料项目高档织物印染和后整理加工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新能源汽车产业。</w:t>
            </w:r>
            <w:r>
              <w:rPr>
                <w:rFonts w:hint="eastAsia" w:ascii="方正小标宋简体" w:hAnsi="方正小标宋简体" w:eastAsia="方正小标宋简体" w:cs="方正小标宋简体"/>
                <w:szCs w:val="21"/>
              </w:rPr>
              <w:t>华鑫年产1万吨锂电池正极项目、新能源汽车动力总成项目、新能源汽车零部件及“三电”系统产业园项目、汽车内饰零部件生产项目、新能源汽车动力电池BMS管理系统项目、年产100万套汽车座椅系统生产项目、年产1万辆半挂车和改装车生产线项目、云智能快递汽车项目、汽车高精地图项目、新能源汽车整车生产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航天科技产业。</w:t>
            </w:r>
            <w:r>
              <w:rPr>
                <w:rFonts w:hint="eastAsia" w:ascii="方正小标宋简体" w:hAnsi="方正小标宋简体" w:eastAsia="方正小标宋简体" w:cs="方正小标宋简体"/>
                <w:szCs w:val="21"/>
              </w:rPr>
              <w:t>北京光府科技高能激光项目、三晋宇航火箭发动机项目、无人机项目、特种车辆改装项目等。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光电产业。</w:t>
            </w:r>
            <w:r>
              <w:rPr>
                <w:rFonts w:hint="eastAsia" w:ascii="方正小标宋简体" w:hAnsi="方正小标宋简体" w:eastAsia="方正小标宋简体" w:cs="方正小标宋简体"/>
                <w:szCs w:val="21"/>
              </w:rPr>
              <w:t>穿越光电OLED有机发光材料项目等。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新能源轨道交通装备制造产业。</w:t>
            </w:r>
            <w:r>
              <w:rPr>
                <w:rFonts w:hint="eastAsia" w:ascii="方正小标宋简体" w:hAnsi="方正小标宋简体" w:eastAsia="方正小标宋简体" w:cs="方正小标宋简体"/>
                <w:szCs w:val="21"/>
              </w:rPr>
              <w:t>不锈钢城轨车辆项目、中辆新能源有轨电车及装备制造项目、轨道交通工程研发中心建设和轨道交通装备双创平台项目等。</w:t>
            </w:r>
          </w:p>
          <w:p>
            <w:pPr>
              <w:adjustRightInd w:val="0"/>
              <w:snapToGrid w:val="0"/>
              <w:spacing w:afterLines="50"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生物医药制药产业。</w:t>
            </w:r>
            <w:r>
              <w:rPr>
                <w:rFonts w:hint="eastAsia" w:ascii="方正小标宋简体" w:hAnsi="方正小标宋简体" w:eastAsia="方正小标宋简体" w:cs="方正小标宋简体"/>
                <w:szCs w:val="21"/>
              </w:rPr>
              <w:t>康意制药重整项目、德济药业、东兴生物科技、和众生物科技有限公司项目等。</w:t>
            </w:r>
          </w:p>
        </w:tc>
      </w:tr>
    </w:tbl>
    <w:p>
      <w:pPr>
        <w:spacing w:beforeLines="50" w:afterLines="50"/>
        <w:jc w:val="center"/>
        <w:outlineLvl w:val="1"/>
        <w:rPr>
          <w:rFonts w:ascii="Times New Roman" w:hAnsi="Times New Roman" w:eastAsia="楷体_GB2312" w:cs="Times New Roman"/>
          <w:kern w:val="0"/>
          <w:sz w:val="32"/>
          <w:szCs w:val="32"/>
          <w:lang w:bidi="en-US"/>
        </w:rPr>
      </w:pPr>
      <w:bookmarkStart w:id="57" w:name="_Toc68253236"/>
      <w:r>
        <w:rPr>
          <w:rFonts w:hint="eastAsia" w:ascii="Times New Roman" w:hAnsi="Times New Roman" w:eastAsia="楷体_GB2312" w:cs="Times New Roman"/>
          <w:kern w:val="0"/>
          <w:sz w:val="32"/>
          <w:szCs w:val="32"/>
          <w:lang w:bidi="en-US"/>
        </w:rPr>
        <w:t>第二节  打造一批百亿级产业集群</w:t>
      </w:r>
      <w:bookmarkEnd w:id="57"/>
    </w:p>
    <w:p>
      <w:pPr>
        <w:ind w:firstLine="640" w:firstLineChars="200"/>
        <w:jc w:val="both"/>
        <w:rPr>
          <w:rFonts w:ascii="Times New Roman" w:hAnsi="Times New Roman" w:eastAsia="仿宋_GB2312" w:cs="Times New Roman"/>
          <w:sz w:val="32"/>
        </w:rPr>
      </w:pPr>
      <w:r>
        <w:rPr>
          <w:rFonts w:ascii="Times New Roman" w:hAnsi="Times New Roman" w:eastAsia="仿宋_GB2312" w:cs="Times New Roman"/>
          <w:sz w:val="32"/>
        </w:rPr>
        <w:t>大力实施产业集群培育提质工程，按照抓招商、引项目、延链条、建集群的思路，强化产业关联，拓宽发展空间，扩大产业集群集聚效应</w:t>
      </w:r>
      <w:r>
        <w:rPr>
          <w:rFonts w:hint="eastAsia" w:ascii="Times New Roman" w:hAnsi="Times New Roman" w:eastAsia="仿宋_GB2312" w:cs="Times New Roman"/>
          <w:sz w:val="32"/>
        </w:rPr>
        <w:t>，努力把永济打造成为全市新兴产业发展示范基地。</w:t>
      </w:r>
    </w:p>
    <w:p>
      <w:pPr>
        <w:ind w:firstLine="643" w:firstLineChars="200"/>
        <w:jc w:val="both"/>
        <w:rPr>
          <w:rFonts w:ascii="Times New Roman" w:hAnsi="Times New Roman" w:eastAsia="仿宋_GB2312" w:cs="Times New Roman"/>
          <w:sz w:val="32"/>
        </w:rPr>
      </w:pPr>
      <w:r>
        <w:rPr>
          <w:rFonts w:ascii="Times New Roman" w:hAnsi="Times New Roman" w:eastAsia="仿宋_GB2312" w:cs="Times New Roman"/>
          <w:b/>
          <w:bCs/>
          <w:sz w:val="32"/>
        </w:rPr>
        <w:t>机电</w:t>
      </w:r>
      <w:r>
        <w:rPr>
          <w:rFonts w:hint="eastAsia" w:ascii="Times New Roman" w:hAnsi="Times New Roman" w:eastAsia="仿宋_GB2312" w:cs="Times New Roman"/>
          <w:b/>
          <w:bCs/>
          <w:sz w:val="32"/>
        </w:rPr>
        <w:t>及新能源轨道交通、化工装备制造</w:t>
      </w:r>
      <w:r>
        <w:rPr>
          <w:rFonts w:ascii="Times New Roman" w:hAnsi="Times New Roman" w:eastAsia="仿宋_GB2312" w:cs="Times New Roman"/>
          <w:b/>
          <w:bCs/>
          <w:sz w:val="32"/>
        </w:rPr>
        <w:t>产业集群。</w:t>
      </w:r>
      <w:r>
        <w:rPr>
          <w:rFonts w:ascii="Times New Roman" w:hAnsi="Times New Roman" w:eastAsia="仿宋_GB2312" w:cs="Times New Roman"/>
          <w:sz w:val="32"/>
          <w:szCs w:val="32"/>
        </w:rPr>
        <w:t>充分发挥中车永济电机龙头牵引作用，以中国电机制造基地建设为目标，以电机整机为核心，以技术创新为驱动，通过产业链上下游延伸，形成国内领先的以电机为特色的先进装备制造业基地。支持</w:t>
      </w:r>
      <w:r>
        <w:rPr>
          <w:rFonts w:ascii="Times New Roman" w:hAnsi="Times New Roman" w:eastAsia="仿宋_GB2312" w:cs="Times New Roman"/>
          <w:sz w:val="32"/>
        </w:rPr>
        <w:t>以永济电机为核心，加强园区建设，吸引关联企业入驻，加快实施中辆新能源有轨电车及装备制造项目，</w:t>
      </w:r>
      <w:r>
        <w:rPr>
          <w:rFonts w:ascii="Times New Roman" w:hAnsi="Times New Roman" w:eastAsia="仿宋_GB2312" w:cs="Times New Roman"/>
          <w:sz w:val="32"/>
          <w:szCs w:val="32"/>
        </w:rPr>
        <w:t>进一步扩大铁路机车、动车、城轨、工矿机车牵引电机产量规模，</w:t>
      </w:r>
      <w:r>
        <w:rPr>
          <w:rFonts w:ascii="Times New Roman" w:hAnsi="Times New Roman" w:eastAsia="仿宋_GB2312" w:cs="Times New Roman"/>
          <w:sz w:val="32"/>
        </w:rPr>
        <w:t>开发高效节能工业电机、变频电机、稀土永磁电机等新产品，不断</w:t>
      </w:r>
      <w:r>
        <w:rPr>
          <w:rFonts w:ascii="Times New Roman" w:hAnsi="Times New Roman" w:eastAsia="仿宋_GB2312" w:cs="Times New Roman"/>
          <w:sz w:val="32"/>
          <w:szCs w:val="32"/>
        </w:rPr>
        <w:t>完善产品图谱。鼓励永济电机持续加大驱动电机、控制电机研发投入，推动小型、微型电机研发制造，逐步拓展民用电机领域，实现各类电机永济研发、永济制造。</w:t>
      </w:r>
      <w:r>
        <w:rPr>
          <w:rFonts w:ascii="Times New Roman" w:hAnsi="Times New Roman" w:eastAsia="仿宋_GB2312" w:cs="Times New Roman"/>
          <w:sz w:val="32"/>
        </w:rPr>
        <w:t>以建链、延链、补链、强链为重点，推进新康机械高铁零部件、优耐特电驱电源系统生产线、贝特电气电机配件加工等项目，完善电机上游定子、转子、端盖等电机部件铸造配套环节，积极拓展电机产品配套的控制器、变频器、逆变器等相关产品，逐步实现电机生产向电传动成套业务模式转变。</w:t>
      </w:r>
      <w:r>
        <w:rPr>
          <w:rFonts w:hint="eastAsia" w:ascii="Times New Roman" w:hAnsi="Times New Roman" w:eastAsia="仿宋_GB2312" w:cs="Times New Roman"/>
          <w:sz w:val="32"/>
        </w:rPr>
        <w:t>积极促进丰喜化机产能回归、产业回迁，努力形成新的经济增长极。到2025年，把机电及新能源轨道交通、化工装备制造业打造成百亿级产业集群。</w:t>
      </w:r>
    </w:p>
    <w:p>
      <w:pPr>
        <w:ind w:firstLine="643" w:firstLineChars="200"/>
        <w:jc w:val="both"/>
        <w:rPr>
          <w:rFonts w:ascii="Times New Roman" w:hAnsi="Times New Roman" w:eastAsia="仿宋_GB2312" w:cs="Times New Roman"/>
          <w:sz w:val="32"/>
        </w:rPr>
      </w:pPr>
      <w:r>
        <w:rPr>
          <w:rFonts w:hint="eastAsia" w:ascii="Times New Roman" w:hAnsi="Times New Roman" w:eastAsia="仿宋_GB2312" w:cs="Times New Roman"/>
          <w:b/>
          <w:bCs/>
          <w:sz w:val="32"/>
        </w:rPr>
        <w:t>铝精深加工及新能源汽车、汽车</w:t>
      </w:r>
      <w:r>
        <w:rPr>
          <w:rFonts w:ascii="Times New Roman" w:hAnsi="Times New Roman" w:eastAsia="仿宋_GB2312" w:cs="Times New Roman"/>
          <w:b/>
          <w:bCs/>
          <w:sz w:val="32"/>
        </w:rPr>
        <w:t>轻量化零配件产业集群。</w:t>
      </w:r>
      <w:r>
        <w:rPr>
          <w:rFonts w:ascii="Times New Roman" w:hAnsi="Times New Roman" w:eastAsia="仿宋_GB2312" w:cs="Times New Roman"/>
          <w:sz w:val="32"/>
          <w:szCs w:val="32"/>
        </w:rPr>
        <w:t>整合铝加工、机电制造两大产业链条，</w:t>
      </w:r>
      <w:r>
        <w:rPr>
          <w:rFonts w:ascii="Times New Roman" w:hAnsi="Times New Roman" w:eastAsia="仿宋_GB2312" w:cs="Times New Roman"/>
          <w:sz w:val="32"/>
        </w:rPr>
        <w:t>加快两大产业融合步伐，全力推动华圣铝业重启复工，</w:t>
      </w:r>
      <w:r>
        <w:rPr>
          <w:rFonts w:ascii="Times New Roman" w:hAnsi="Times New Roman" w:eastAsia="仿宋_GB2312" w:cs="Times New Roman"/>
          <w:sz w:val="32"/>
          <w:szCs w:val="32"/>
        </w:rPr>
        <w:t>支持千军铝业、华茂铸造、晋诚机电等企业</w:t>
      </w:r>
      <w:r>
        <w:rPr>
          <w:rFonts w:hint="eastAsia" w:ascii="Times New Roman" w:hAnsi="Times New Roman" w:eastAsia="仿宋_GB2312" w:cs="Times New Roman"/>
          <w:sz w:val="32"/>
          <w:szCs w:val="32"/>
        </w:rPr>
        <w:t>重点发展以汽车、船舶、航空航天用材为主的汽车车身板、操纵盘、船舶结构件及高精度板带箔等高端工业型材，以及发动机缸盖、缸体、</w:t>
      </w:r>
      <w:r>
        <w:rPr>
          <w:rFonts w:ascii="Times New Roman" w:hAnsi="Times New Roman" w:eastAsia="仿宋_GB2312" w:cs="Times New Roman"/>
          <w:sz w:val="32"/>
          <w:szCs w:val="32"/>
        </w:rPr>
        <w:t>电池箱体、轮毂</w:t>
      </w:r>
      <w:r>
        <w:rPr>
          <w:rFonts w:hint="eastAsia" w:ascii="Times New Roman" w:hAnsi="Times New Roman" w:eastAsia="仿宋_GB2312" w:cs="Times New Roman"/>
          <w:sz w:val="32"/>
          <w:szCs w:val="32"/>
        </w:rPr>
        <w:t>、发动机总成等</w:t>
      </w:r>
      <w:r>
        <w:rPr>
          <w:rFonts w:ascii="Times New Roman" w:hAnsi="Times New Roman" w:eastAsia="仿宋_GB2312" w:cs="Times New Roman"/>
          <w:sz w:val="32"/>
          <w:szCs w:val="32"/>
        </w:rPr>
        <w:t>汽车轻量化</w:t>
      </w:r>
      <w:r>
        <w:rPr>
          <w:rFonts w:hint="eastAsia" w:ascii="Times New Roman" w:hAnsi="Times New Roman" w:eastAsia="仿宋_GB2312" w:cs="Times New Roman"/>
          <w:sz w:val="32"/>
          <w:szCs w:val="32"/>
        </w:rPr>
        <w:t>零部件生产，支持蓝科途、派克新能源等企业横向配齐动力电池正负极材料、电解液产业，发展新能源汽车电池配件等产品，加快</w:t>
      </w:r>
      <w:r>
        <w:rPr>
          <w:rFonts w:ascii="Times New Roman" w:hAnsi="Times New Roman" w:eastAsia="仿宋_GB2312" w:cs="Times New Roman"/>
          <w:sz w:val="32"/>
          <w:szCs w:val="32"/>
        </w:rPr>
        <w:t>形成协同发展优势，放大集聚效应，打造全国有影响的汽车轻量化零部件产业基地。</w:t>
      </w:r>
      <w:r>
        <w:rPr>
          <w:rFonts w:ascii="Times New Roman" w:hAnsi="Times New Roman" w:eastAsia="仿宋_GB2312" w:cs="Times New Roman"/>
          <w:sz w:val="32"/>
        </w:rPr>
        <w:t>依托电机优势，</w:t>
      </w:r>
      <w:r>
        <w:rPr>
          <w:rFonts w:ascii="Times New Roman" w:hAnsi="Times New Roman" w:eastAsia="仿宋_GB2312" w:cs="Times New Roman"/>
          <w:sz w:val="32"/>
          <w:szCs w:val="32"/>
        </w:rPr>
        <w:t>以新能源汽车电机电控为突破口，加快电机新能源汽车电驱动系统整体解决方案研发，引进2-3家主流新能源汽车电机电控厂商，重点发展电驱动桥、新能源汽车动力总成及锂电池等产品，实现高速电机、控制器、电池的深度集成。</w:t>
      </w:r>
      <w:r>
        <w:rPr>
          <w:rFonts w:hint="eastAsia" w:ascii="Times New Roman" w:hAnsi="Times New Roman" w:eastAsia="仿宋_GB2312" w:cs="Times New Roman"/>
          <w:sz w:val="32"/>
        </w:rPr>
        <w:t>到2025年，把铝精深加工及新能源汽车、汽车轻量化零配件制造业打造成百亿级产业集群。</w:t>
      </w:r>
    </w:p>
    <w:p>
      <w:pPr>
        <w:ind w:firstLine="643" w:firstLineChars="200"/>
        <w:jc w:val="both"/>
        <w:rPr>
          <w:rFonts w:ascii="Times New Roman" w:hAnsi="Times New Roman" w:eastAsia="仿宋_GB2312" w:cs="Times New Roman"/>
          <w:sz w:val="32"/>
        </w:rPr>
      </w:pPr>
      <w:r>
        <w:rPr>
          <w:rFonts w:ascii="Times New Roman" w:hAnsi="Times New Roman" w:eastAsia="仿宋_GB2312" w:cs="Times New Roman"/>
          <w:b/>
          <w:bCs/>
          <w:sz w:val="32"/>
        </w:rPr>
        <w:t>农副产品加工</w:t>
      </w:r>
      <w:r>
        <w:rPr>
          <w:rFonts w:hint="eastAsia" w:ascii="Times New Roman" w:hAnsi="Times New Roman" w:eastAsia="仿宋_GB2312" w:cs="Times New Roman"/>
          <w:b/>
          <w:bCs/>
          <w:sz w:val="32"/>
        </w:rPr>
        <w:t>及生物医药制药</w:t>
      </w:r>
      <w:r>
        <w:rPr>
          <w:rFonts w:ascii="Times New Roman" w:hAnsi="Times New Roman" w:eastAsia="仿宋_GB2312" w:cs="Times New Roman"/>
          <w:b/>
          <w:bCs/>
          <w:sz w:val="32"/>
        </w:rPr>
        <w:t>产业集群。</w:t>
      </w:r>
      <w:r>
        <w:rPr>
          <w:rFonts w:ascii="Times New Roman" w:hAnsi="Times New Roman" w:eastAsia="仿宋_GB2312" w:cs="Times New Roman"/>
          <w:sz w:val="32"/>
        </w:rPr>
        <w:t>按照延伸产业链条，促进产品由粗加工向精加工、由低端向中高端迈进的发展思路，加快</w:t>
      </w:r>
      <w:r>
        <w:rPr>
          <w:rFonts w:ascii="Times New Roman" w:hAnsi="Times New Roman" w:eastAsia="仿宋_GB2312" w:cs="Times New Roman"/>
          <w:sz w:val="32"/>
          <w:szCs w:val="32"/>
        </w:rPr>
        <w:t>推动优质果菜、面粉食品、肉制品、药材药品、饮品酿品精深加工，重点发展浓缩果汁、速冻果粒、速冻蔬菜、脱水蔬菜、冬枣加工、芦笋加工、熟肉膳食、方便休闲食品、</w:t>
      </w:r>
      <w:r>
        <w:rPr>
          <w:rFonts w:hint="eastAsia" w:ascii="Times New Roman" w:hAnsi="Times New Roman" w:eastAsia="仿宋_GB2312" w:cs="Times New Roman"/>
          <w:sz w:val="32"/>
          <w:szCs w:val="32"/>
        </w:rPr>
        <w:t>药茶和</w:t>
      </w:r>
      <w:r>
        <w:rPr>
          <w:rFonts w:ascii="Times New Roman" w:hAnsi="Times New Roman" w:eastAsia="仿宋_GB2312" w:cs="Times New Roman"/>
          <w:sz w:val="32"/>
          <w:szCs w:val="32"/>
        </w:rPr>
        <w:t>保健饮品等深加工食品。支持大象集团加快年产6000万只肉鸡孵化、饲养加工一体化项目建设，积极推动忠民集团重整工作，恢复提升加工能力和产品品质，带动发展一批</w:t>
      </w:r>
      <w:r>
        <w:rPr>
          <w:rFonts w:ascii="Times New Roman" w:hAnsi="Times New Roman" w:eastAsia="仿宋_GB2312" w:cs="Times New Roman"/>
          <w:sz w:val="32"/>
        </w:rPr>
        <w:t>食品加工、冷链物流、包装材料等企业，全面振兴农副产品加工业。发挥</w:t>
      </w:r>
      <w:r>
        <w:rPr>
          <w:rFonts w:ascii="Times New Roman" w:hAnsi="Times New Roman" w:eastAsia="仿宋_GB2312" w:cs="Times New Roman"/>
          <w:sz w:val="32"/>
          <w:szCs w:val="32"/>
        </w:rPr>
        <w:t>永济面食餐饮品牌优势，加快面食集团面食文化产业园项目建设，</w:t>
      </w:r>
      <w:r>
        <w:rPr>
          <w:rFonts w:ascii="Times New Roman" w:hAnsi="Times New Roman" w:eastAsia="仿宋_GB2312" w:cs="Times New Roman"/>
          <w:sz w:val="32"/>
        </w:rPr>
        <w:t>延伸加工产业链条，建立物料配送体系，将永济面食打造成知名品牌、富民产业。</w:t>
      </w:r>
      <w:r>
        <w:rPr>
          <w:rFonts w:hint="eastAsia" w:ascii="Times New Roman" w:hAnsi="Times New Roman" w:eastAsia="仿宋_GB2312" w:cs="Times New Roman"/>
          <w:sz w:val="32"/>
        </w:rPr>
        <w:t>立足我市药材资源优势，抢抓大健康产业发展机遇，加快抗议制药重整，支持德济药业、东兴生物科技、和众生物科技有限公司等，大力发展生物医药产业，加快形成新动能。到2025年，把</w:t>
      </w:r>
      <w:r>
        <w:rPr>
          <w:rFonts w:ascii="Times New Roman" w:hAnsi="Times New Roman" w:eastAsia="仿宋_GB2312" w:cs="Times New Roman"/>
          <w:sz w:val="32"/>
        </w:rPr>
        <w:t>农副产品加工</w:t>
      </w:r>
      <w:r>
        <w:rPr>
          <w:rFonts w:hint="eastAsia" w:ascii="Times New Roman" w:hAnsi="Times New Roman" w:eastAsia="仿宋_GB2312" w:cs="Times New Roman"/>
          <w:sz w:val="32"/>
        </w:rPr>
        <w:t>及生物医药制药</w:t>
      </w:r>
      <w:r>
        <w:rPr>
          <w:rFonts w:ascii="Times New Roman" w:hAnsi="Times New Roman" w:eastAsia="仿宋_GB2312" w:cs="Times New Roman"/>
          <w:sz w:val="32"/>
        </w:rPr>
        <w:t>产业</w:t>
      </w:r>
      <w:r>
        <w:rPr>
          <w:rFonts w:hint="eastAsia" w:ascii="Times New Roman" w:hAnsi="Times New Roman" w:eastAsia="仿宋_GB2312" w:cs="Times New Roman"/>
          <w:sz w:val="32"/>
        </w:rPr>
        <w:t>打造成百亿级产业集群。</w:t>
      </w:r>
    </w:p>
    <w:p>
      <w:pPr>
        <w:ind w:firstLine="643" w:firstLineChars="200"/>
        <w:jc w:val="both"/>
        <w:rPr>
          <w:rFonts w:ascii="Times New Roman" w:hAnsi="Times New Roman" w:eastAsia="仿宋_GB2312" w:cs="Times New Roman"/>
          <w:sz w:val="32"/>
        </w:rPr>
      </w:pPr>
      <w:r>
        <w:rPr>
          <w:rFonts w:hint="eastAsia" w:ascii="Times New Roman" w:hAnsi="Times New Roman" w:eastAsia="仿宋_GB2312" w:cs="Times New Roman"/>
          <w:b/>
          <w:bCs/>
          <w:sz w:val="32"/>
        </w:rPr>
        <w:t>航天科技及光电产业集群。</w:t>
      </w:r>
      <w:r>
        <w:rPr>
          <w:rFonts w:hint="eastAsia" w:ascii="Times New Roman" w:hAnsi="Times New Roman" w:eastAsia="仿宋_GB2312" w:cs="Times New Roman"/>
          <w:sz w:val="32"/>
        </w:rPr>
        <w:t>依托北京光府科技高能激光项目、三晋宇航火箭发动机和无人机项目、穿越光电OLED有机发光材料项目、精密减速器制造项目、高端镜头生产项目、智能电子元器件项目等，推动以商招商，打造特种复合材料、特种车辆、无人车、无人机、火箭发动机、高精密制造等特种制造产业链。以伺服控制电机为突破口，加大力度引进机器人本体制造企业以及精密减速器、高速高性能控制器、传感器、末端执行器等关键零部件配套企业，积极发展弧焊、点焊、搬运、喷漆等工业机器人，以及水下机器人、消防救援机器人等特种机器人。大力引进数控系统、智能控制系统、智能仪器仪表、传感器、电力电子器件（IGBT）等智能装备制造产业链企业，以及包装、物流仓储、红外检测、焊接等应用领域的智能装备生产企业，发展智能制造产业。到2025年，把航天科技及光电产业打造成百亿级产业集群。</w:t>
      </w:r>
    </w:p>
    <w:p>
      <w:pPr>
        <w:ind w:firstLine="643" w:firstLineChars="200"/>
        <w:jc w:val="both"/>
        <w:rPr>
          <w:rFonts w:ascii="Times New Roman" w:hAnsi="Times New Roman" w:eastAsia="仿宋_GB2312" w:cs="Times New Roman"/>
          <w:sz w:val="32"/>
        </w:rPr>
      </w:pPr>
      <w:r>
        <w:rPr>
          <w:rFonts w:ascii="Times New Roman" w:hAnsi="Times New Roman" w:eastAsia="仿宋_GB2312" w:cs="Times New Roman"/>
          <w:b/>
          <w:bCs/>
          <w:sz w:val="32"/>
        </w:rPr>
        <w:t>风电设备制造维修产业集群。</w:t>
      </w:r>
      <w:r>
        <w:rPr>
          <w:rFonts w:ascii="Times New Roman" w:hAnsi="Times New Roman" w:eastAsia="仿宋_GB2312" w:cs="Times New Roman"/>
          <w:sz w:val="32"/>
        </w:rPr>
        <w:t>瞄准风电产业发展新机遇，依托技术人才优势，吸引各类风电制造和维修企业来永投资发展。推进合信锐风风电维修基地、正鑫风电自动化设备制造维修等项目，支持条山电机、瑞丰机电等维修企业发展壮大，积极引进风电总装、叶片制造等关联企业，拓展机舱风机市场，发展具有自主知识产权的风电机组，着力延伸风机装备产业链，打造永济风机知名品牌。推动以永济为总部基地开展风场现场服务，实施风力发电机全寿命周期智能监控，支持以大数据分析实现对发电机故障的精准诊断，推动实现从发电机运维服务到风电场整体运维承揽的转变，抢占风电设备运行维护市场</w:t>
      </w:r>
      <w:r>
        <w:rPr>
          <w:rFonts w:hint="eastAsia" w:ascii="Times New Roman" w:hAnsi="Times New Roman" w:eastAsia="仿宋_GB2312" w:cs="Times New Roman"/>
          <w:sz w:val="32"/>
        </w:rPr>
        <w:t>，</w:t>
      </w:r>
      <w:r>
        <w:rPr>
          <w:rFonts w:ascii="Times New Roman" w:hAnsi="Times New Roman" w:eastAsia="仿宋_GB2312" w:cs="Times New Roman"/>
          <w:sz w:val="32"/>
        </w:rPr>
        <w:t>打造成为</w:t>
      </w:r>
      <w:r>
        <w:rPr>
          <w:rFonts w:hint="eastAsia" w:ascii="Times New Roman" w:hAnsi="Times New Roman" w:eastAsia="仿宋_GB2312" w:cs="Times New Roman"/>
          <w:sz w:val="32"/>
        </w:rPr>
        <w:t>全国集</w:t>
      </w:r>
      <w:r>
        <w:rPr>
          <w:rFonts w:ascii="Times New Roman" w:hAnsi="Times New Roman" w:eastAsia="仿宋_GB2312" w:cs="Times New Roman"/>
          <w:sz w:val="32"/>
        </w:rPr>
        <w:t>风电设备制造、</w:t>
      </w:r>
      <w:r>
        <w:rPr>
          <w:rFonts w:hint="eastAsia" w:ascii="Times New Roman" w:hAnsi="Times New Roman" w:eastAsia="仿宋_GB2312" w:cs="Times New Roman"/>
          <w:sz w:val="32"/>
        </w:rPr>
        <w:t>风电运维的产业</w:t>
      </w:r>
      <w:r>
        <w:rPr>
          <w:rFonts w:ascii="Times New Roman" w:hAnsi="Times New Roman" w:eastAsia="仿宋_GB2312" w:cs="Times New Roman"/>
          <w:sz w:val="32"/>
        </w:rPr>
        <w:t>基地。</w:t>
      </w:r>
      <w:r>
        <w:rPr>
          <w:rFonts w:hint="eastAsia" w:ascii="Times New Roman" w:hAnsi="Times New Roman" w:eastAsia="仿宋_GB2312" w:cs="Times New Roman"/>
          <w:sz w:val="32"/>
        </w:rPr>
        <w:t>到2025年，把风电设备制造维修产业打造成五十亿级产业集群。</w:t>
      </w:r>
    </w:p>
    <w:p>
      <w:pPr>
        <w:ind w:firstLine="643" w:firstLineChars="200"/>
        <w:jc w:val="both"/>
        <w:rPr>
          <w:rFonts w:ascii="Times New Roman" w:hAnsi="Times New Roman" w:eastAsia="仿宋_GB2312" w:cs="Times New Roman"/>
          <w:sz w:val="32"/>
        </w:rPr>
      </w:pPr>
      <w:r>
        <w:rPr>
          <w:rFonts w:ascii="Times New Roman" w:hAnsi="Times New Roman" w:eastAsia="仿宋_GB2312" w:cs="Times New Roman"/>
          <w:b/>
          <w:bCs/>
          <w:sz w:val="32"/>
        </w:rPr>
        <w:t>高端印染包装产业集群。</w:t>
      </w:r>
      <w:r>
        <w:rPr>
          <w:rFonts w:ascii="Times New Roman" w:hAnsi="Times New Roman" w:eastAsia="仿宋_GB2312" w:cs="Times New Roman"/>
          <w:sz w:val="32"/>
        </w:rPr>
        <w:t>依托凯通、彩佳、恒誉彩印等公司，积极推进印染包装产业高端化发展，扶持和支持印染包装行业加快智能化装备、智能物流管理等技术和装备在生产过程中的应用，鼓励企业建立技术研发中心，提升企业产品的竞争力，推动印染包装产业加快向技术密集型、资源节约型、环境友好型转变。推动纺织印染围绕“原棉加工-纺纱-织布-印染-服装（成品）”产业链条，依托现有拳头产品，积极招引纺织衬布等相关企业，逐步扩大上游产能，大力拓展下游产业，鼓励发展色织品、高端印染、品牌成衣、家纺制品等，提高产品附加值。</w:t>
      </w:r>
      <w:r>
        <w:rPr>
          <w:rFonts w:hint="eastAsia" w:ascii="Times New Roman" w:hAnsi="Times New Roman" w:eastAsia="仿宋_GB2312" w:cs="Times New Roman"/>
          <w:sz w:val="32"/>
        </w:rPr>
        <w:t>到2025年，把高端印染包装产业打造成五十亿级产业集群。</w:t>
      </w:r>
    </w:p>
    <w:p>
      <w:pPr>
        <w:spacing w:beforeLines="50" w:afterLines="50"/>
        <w:jc w:val="both"/>
        <w:outlineLvl w:val="1"/>
        <w:rPr>
          <w:rFonts w:ascii="Times New Roman" w:hAnsi="Times New Roman" w:eastAsia="楷体_GB2312" w:cs="Times New Roman"/>
          <w:kern w:val="0"/>
          <w:sz w:val="10"/>
          <w:szCs w:val="10"/>
          <w:lang w:bidi="en-US"/>
        </w:rPr>
      </w:pPr>
      <w:bookmarkStart w:id="58" w:name="_Toc68253237"/>
    </w:p>
    <w:p>
      <w:pPr>
        <w:spacing w:beforeLines="50" w:afterLines="50"/>
        <w:jc w:val="center"/>
        <w:outlineLvl w:val="1"/>
        <w:rPr>
          <w:rFonts w:ascii="Times New Roman" w:hAnsi="Times New Roman" w:eastAsia="楷体_GB2312" w:cs="Times New Roman"/>
          <w:kern w:val="0"/>
          <w:sz w:val="32"/>
          <w:szCs w:val="32"/>
          <w:lang w:bidi="en-US"/>
        </w:rPr>
      </w:pPr>
      <w:r>
        <w:rPr>
          <w:rFonts w:ascii="Times New Roman" w:hAnsi="Times New Roman" w:eastAsia="楷体_GB2312" w:cs="Times New Roman"/>
          <w:kern w:val="0"/>
          <w:sz w:val="32"/>
          <w:szCs w:val="32"/>
          <w:lang w:bidi="en-US"/>
        </w:rPr>
        <w:t>第</w:t>
      </w:r>
      <w:r>
        <w:rPr>
          <w:rFonts w:hint="eastAsia" w:ascii="Times New Roman" w:hAnsi="Times New Roman" w:eastAsia="楷体_GB2312" w:cs="Times New Roman"/>
          <w:kern w:val="0"/>
          <w:sz w:val="32"/>
          <w:szCs w:val="32"/>
          <w:lang w:bidi="en-US"/>
        </w:rPr>
        <w:t>三</w:t>
      </w:r>
      <w:r>
        <w:rPr>
          <w:rFonts w:ascii="Times New Roman" w:hAnsi="Times New Roman" w:eastAsia="楷体_GB2312" w:cs="Times New Roman"/>
          <w:kern w:val="0"/>
          <w:sz w:val="32"/>
          <w:szCs w:val="32"/>
          <w:lang w:bidi="en-US"/>
        </w:rPr>
        <w:t>节  加快发展现代服务业</w:t>
      </w:r>
      <w:bookmarkEnd w:id="58"/>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充分发挥我市的区位优势，瞄准重点领域，大力发展现代物流、电商服务、家庭服务，推动生产性服务业向专业化和价值链高端延伸、生活性服务业向高品质和多样化升级，加快服务业集聚区建设，全面提升现代服务业发展水平。</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kern w:val="0"/>
          <w:sz w:val="32"/>
          <w:szCs w:val="32"/>
        </w:rPr>
        <w:t>发展现代物流业。</w:t>
      </w:r>
      <w:r>
        <w:rPr>
          <w:rFonts w:ascii="Times New Roman" w:hAnsi="Times New Roman" w:eastAsia="仿宋_GB2312" w:cs="Times New Roman"/>
          <w:kern w:val="0"/>
          <w:sz w:val="32"/>
          <w:szCs w:val="32"/>
        </w:rPr>
        <w:t>依托“永西欧”班列，全面深化和西安港务区的合作，谋划、引进、实施一批重大项目，努力把永济打造成区域国际物流集散中心。加快建立区域物流信息平台，推动永济市久鼎智慧物流园、商业总公司年屠宰生猪50万头及冷链物流项目、永旺智慧农贸市场、南山润田农贸市场、节能型冷藏保鲜库项目建设，鼓励物流企业抓好智能仓储系统、冷链物流中心建设，积极打造无人机配送示范区和智慧物流园。</w:t>
      </w:r>
      <w:r>
        <w:rPr>
          <w:rFonts w:ascii="Times New Roman" w:hAnsi="Times New Roman" w:eastAsia="仿宋_GB2312" w:cs="Times New Roman"/>
          <w:sz w:val="32"/>
          <w:szCs w:val="32"/>
        </w:rPr>
        <w:t>大力提升普惠物流发展水平，加快第三方专业物流发展，畅通城乡物流配送。</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kern w:val="0"/>
          <w:sz w:val="32"/>
          <w:szCs w:val="32"/>
        </w:rPr>
        <w:t>发展电商服务业。</w:t>
      </w:r>
      <w:r>
        <w:rPr>
          <w:rFonts w:ascii="Times New Roman" w:hAnsi="Times New Roman" w:eastAsia="仿宋_GB2312" w:cs="Times New Roman"/>
          <w:kern w:val="0"/>
          <w:sz w:val="32"/>
          <w:szCs w:val="32"/>
        </w:rPr>
        <w:t>加快建设一批镇（街道）电商创业园和电商专业村，</w:t>
      </w:r>
      <w:r>
        <w:rPr>
          <w:rFonts w:ascii="Times New Roman" w:hAnsi="Times New Roman" w:eastAsia="仿宋_GB2312" w:cs="Times New Roman"/>
          <w:sz w:val="32"/>
          <w:szCs w:val="32"/>
        </w:rPr>
        <w:t>加快农村淘宝店建设，</w:t>
      </w:r>
      <w:r>
        <w:rPr>
          <w:rFonts w:ascii="Times New Roman" w:hAnsi="Times New Roman" w:eastAsia="仿宋_GB2312" w:cs="Times New Roman"/>
          <w:kern w:val="0"/>
          <w:sz w:val="32"/>
          <w:szCs w:val="32"/>
        </w:rPr>
        <w:t>积极发展网店设计、网络营销、电商直播等电商服务业，</w:t>
      </w:r>
      <w:r>
        <w:rPr>
          <w:rFonts w:ascii="Times New Roman" w:hAnsi="Times New Roman" w:eastAsia="仿宋_GB2312" w:cs="Times New Roman"/>
          <w:sz w:val="32"/>
          <w:szCs w:val="32"/>
        </w:rPr>
        <w:t>培育一批销售本地农产品的代运营电商企业，</w:t>
      </w:r>
      <w:r>
        <w:rPr>
          <w:rFonts w:ascii="Times New Roman" w:hAnsi="Times New Roman" w:eastAsia="仿宋_GB2312" w:cs="Times New Roman"/>
          <w:kern w:val="0"/>
          <w:sz w:val="32"/>
          <w:szCs w:val="32"/>
        </w:rPr>
        <w:t>完善电子商务生态圈。</w:t>
      </w:r>
      <w:r>
        <w:rPr>
          <w:rFonts w:ascii="Times New Roman" w:hAnsi="Times New Roman" w:eastAsia="仿宋_GB2312" w:cs="Times New Roman"/>
          <w:sz w:val="32"/>
          <w:szCs w:val="32"/>
        </w:rPr>
        <w:t>积极培育本地电商和直播人才，推动人才培养、电商创业、直播带货有机结合。到2025年，力争建设1-2个电商集聚区，培育5家以上具有一定规模的跨境电商企业。支持本地农业龙头企业、合作社、种养大户与第三方平台、生鲜电商合作，构建多层次的农产品网上批发渠道，积极打造农场直供、消费者定制、订单农业等农产品网络营销模式永济样板。</w:t>
      </w:r>
    </w:p>
    <w:p>
      <w:pPr>
        <w:pStyle w:val="17"/>
        <w:ind w:firstLine="643" w:firstLineChars="200"/>
        <w:jc w:val="both"/>
        <w:rPr>
          <w:rFonts w:ascii="Times New Roman" w:hAnsi="Times New Roman" w:eastAsia="仿宋_GB2312"/>
          <w:kern w:val="0"/>
          <w:sz w:val="32"/>
          <w:szCs w:val="32"/>
          <w:lang w:bidi="en-US"/>
        </w:rPr>
      </w:pPr>
      <w:r>
        <w:rPr>
          <w:rFonts w:ascii="Times New Roman" w:hAnsi="Times New Roman" w:eastAsia="仿宋_GB2312"/>
          <w:b/>
          <w:bCs/>
          <w:sz w:val="32"/>
          <w:szCs w:val="32"/>
        </w:rPr>
        <w:t>发展现代生活服务业。</w:t>
      </w:r>
      <w:r>
        <w:rPr>
          <w:rFonts w:ascii="Times New Roman" w:hAnsi="Times New Roman" w:eastAsia="仿宋_GB2312"/>
          <w:sz w:val="32"/>
          <w:szCs w:val="32"/>
        </w:rPr>
        <w:t>满足居民不断增强的多样化服务需求，加快构建城乡居民家庭服务体系，培育一批家庭服务企业，推动家庭服务市场多层次、多形式发展。加快推动建设社区家庭服务网点，鼓励生鲜食品店、便利店等各类生活服务连锁企业进社区，持续打造“15分钟便民服务圈”。发展满足特色需求的家庭用品配送、婴幼儿看护、护理、美容美发、家用电器修理等服务，推动房屋租赁经营、物业管理、搬家保洁、家用车辆保养维修等规范化、标准化发展。鼓励发展健康体检、健康咨询、健康文化、健康旅游、体育健身等多样化健康服务。加快改造提升传统服务业，积极发展主题饭店、客栈民宿、特色餐饮、农家乐等细分业态，建设美食街和餐饮集聚区，实现住宿餐饮连锁化、品牌化。</w:t>
      </w:r>
    </w:p>
    <w:p>
      <w:pPr>
        <w:spacing w:beforeLines="50" w:afterLines="50"/>
        <w:jc w:val="both"/>
        <w:outlineLvl w:val="1"/>
        <w:rPr>
          <w:rFonts w:ascii="Times New Roman" w:hAnsi="Times New Roman" w:eastAsia="楷体_GB2312" w:cs="Times New Roman"/>
          <w:kern w:val="0"/>
          <w:sz w:val="32"/>
          <w:szCs w:val="32"/>
          <w:lang w:bidi="en-US"/>
        </w:rPr>
      </w:pPr>
      <w:bookmarkStart w:id="59" w:name="_Toc68253238"/>
      <w:r>
        <w:rPr>
          <w:rFonts w:ascii="Times New Roman" w:hAnsi="Times New Roman" w:eastAsia="楷体_GB2312" w:cs="Times New Roman"/>
          <w:kern w:val="0"/>
          <w:sz w:val="32"/>
          <w:szCs w:val="32"/>
          <w:lang w:bidi="en-US"/>
        </w:rPr>
        <w:t>第四节  建设运城数字经济先行区</w:t>
      </w:r>
      <w:bookmarkEnd w:id="59"/>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以数字产业化和产业数字化为目标，推动数字经济和实体经济融合发展，力争到2025年，高速、移动、安全、泛在的网络设施基本建成，数字经济骨干企业培育壮大，规上企业数字化改造达到50%，建设成为运城数字产业发展和智慧应用先行区。</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夯实数字经济发展基础。</w:t>
      </w:r>
      <w:r>
        <w:rPr>
          <w:rFonts w:ascii="Times New Roman" w:hAnsi="Times New Roman" w:eastAsia="仿宋_GB2312" w:cs="Times New Roman"/>
          <w:sz w:val="32"/>
          <w:szCs w:val="32"/>
        </w:rPr>
        <w:t>支持基础电信企业普遍提供固定百兆宽带接入能力，具备条件的小区提供固定千兆宽带接入能力，实现家庭、企业、园区、写字楼光纤宽带网络覆盖。持续增加4G网络覆盖广度和深度，加强公共区域向5G基站建设开放，推动5G网络建设和通信网络设施IPv6改造升级，加快骨干网、接入网及城域网建设，谋划建设国际互联网骨干直连点，不断提升互联网城际出口带宽，全面增强网络通信服务能力。</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实施数字产业倍增工程。</w:t>
      </w:r>
      <w:r>
        <w:rPr>
          <w:rFonts w:ascii="Times New Roman" w:hAnsi="Times New Roman" w:eastAsia="仿宋_GB2312" w:cs="Times New Roman"/>
          <w:sz w:val="32"/>
          <w:szCs w:val="32"/>
        </w:rPr>
        <w:t>积极承接东部地区电子信息制造业产业转移，发展电子材料、电子设备、电子元器件等电子信息产品，推动电子信息制造业总体发展达到全省先进水平。积极培育和引进一批软件及信息服务企业，开展应用软件、工业软件等软件产品和解决方案研发，发展信息系统集成、信息技术咨询和应用、设计开发等信息技术增值服务。鼓励引进5G设备制造、芯片产业、应用等骨干企业在永济建设制造基地、建设5G数据中心。加强数字内容产品开发利用，打造数字创意集聚区。</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推动数字经济融合应用。</w:t>
      </w:r>
      <w:r>
        <w:rPr>
          <w:rFonts w:ascii="Times New Roman" w:hAnsi="Times New Roman" w:eastAsia="仿宋_GB2312" w:cs="Times New Roman"/>
          <w:sz w:val="32"/>
          <w:szCs w:val="32"/>
        </w:rPr>
        <w:t xml:space="preserve">深入实施两化深度融合和智能制造行动计划，推动实现生产设备智能化、生产过程自动化、企业管理信息化和供应链网络化。建设永济工业云服务平台，实现企业大数据分析。加快乡村数字化建设，发展农业农村大数据，构建基于互联网和大数据的现代农业生产体系。积极培育服务业数字化新业态，发展跨境电商和智慧物流，实施供应链创新及应用试点，建立大数据支撑、网络化共享、智能化协作的城市智慧供应链体系。 </w:t>
      </w:r>
    </w:p>
    <w:p>
      <w:pPr>
        <w:spacing w:beforeLines="50" w:afterLines="50"/>
        <w:jc w:val="center"/>
        <w:outlineLvl w:val="1"/>
        <w:rPr>
          <w:rFonts w:ascii="Times New Roman" w:hAnsi="Times New Roman" w:eastAsia="楷体_GB2312" w:cs="Times New Roman"/>
          <w:kern w:val="0"/>
          <w:sz w:val="32"/>
          <w:szCs w:val="32"/>
          <w:lang w:bidi="en-US"/>
        </w:rPr>
      </w:pPr>
      <w:bookmarkStart w:id="60" w:name="_Toc68253239"/>
      <w:r>
        <w:rPr>
          <w:rFonts w:ascii="Times New Roman" w:hAnsi="Times New Roman" w:eastAsia="楷体_GB2312" w:cs="Times New Roman"/>
          <w:kern w:val="0"/>
          <w:sz w:val="32"/>
          <w:szCs w:val="32"/>
          <w:lang w:bidi="en-US"/>
        </w:rPr>
        <w:t>第</w:t>
      </w:r>
      <w:r>
        <w:rPr>
          <w:rFonts w:hint="eastAsia" w:ascii="Times New Roman" w:hAnsi="Times New Roman" w:eastAsia="楷体_GB2312" w:cs="Times New Roman"/>
          <w:kern w:val="0"/>
          <w:sz w:val="32"/>
          <w:szCs w:val="32"/>
          <w:lang w:bidi="en-US"/>
        </w:rPr>
        <w:t>五</w:t>
      </w:r>
      <w:r>
        <w:rPr>
          <w:rFonts w:ascii="Times New Roman" w:hAnsi="Times New Roman" w:eastAsia="楷体_GB2312" w:cs="Times New Roman"/>
          <w:kern w:val="0"/>
          <w:sz w:val="32"/>
          <w:szCs w:val="32"/>
          <w:lang w:bidi="en-US"/>
        </w:rPr>
        <w:t xml:space="preserve">节  </w:t>
      </w:r>
      <w:r>
        <w:rPr>
          <w:rFonts w:hint="eastAsia" w:ascii="Times New Roman" w:hAnsi="Times New Roman" w:eastAsia="楷体_GB2312" w:cs="Times New Roman"/>
          <w:kern w:val="0"/>
          <w:sz w:val="32"/>
          <w:szCs w:val="32"/>
          <w:lang w:bidi="en-US"/>
        </w:rPr>
        <w:t>大力支持开发区发展</w:t>
      </w:r>
      <w:bookmarkEnd w:id="60"/>
    </w:p>
    <w:p>
      <w:pPr>
        <w:spacing w:line="360"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充分发挥开发区产业转型发展的主战场、主引擎作用，持续深化“三化三制”改革，不断壮大主导产业规模，加大招商引资力度，把开发区打造成永济高质量转型发展的引领区、集聚区、支撑区，力争到2025年，开发区发展综合实力进入全省第一方阵。</w:t>
      </w:r>
    </w:p>
    <w:p>
      <w:pPr>
        <w:spacing w:line="360" w:lineRule="auto"/>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夯实开发区综合承载基础。</w:t>
      </w:r>
      <w:r>
        <w:rPr>
          <w:rStyle w:val="29"/>
          <w:rFonts w:ascii="Times New Roman" w:hAnsi="Times New Roman" w:eastAsia="仿宋_GB2312" w:cs="Times New Roman"/>
          <w:sz w:val="32"/>
          <w:szCs w:val="32"/>
        </w:rPr>
        <w:t>加快推进“标准地”改革，</w:t>
      </w:r>
      <w:r>
        <w:rPr>
          <w:rFonts w:ascii="Times New Roman" w:hAnsi="Times New Roman" w:eastAsia="仿宋_GB2312" w:cs="Times New Roman"/>
          <w:sz w:val="32"/>
          <w:szCs w:val="32"/>
        </w:rPr>
        <w:t>全面落实熟地供应，</w:t>
      </w:r>
      <w:r>
        <w:rPr>
          <w:rStyle w:val="29"/>
          <w:rFonts w:ascii="Times New Roman" w:hAnsi="Times New Roman" w:eastAsia="仿宋_GB2312" w:cs="Times New Roman"/>
          <w:sz w:val="32"/>
          <w:szCs w:val="32"/>
        </w:rPr>
        <w:t>实现开发区一般工业项目“全承诺、无审批、拿地即可开工”制度。</w:t>
      </w:r>
      <w:r>
        <w:rPr>
          <w:rFonts w:ascii="Times New Roman" w:hAnsi="Times New Roman" w:eastAsia="仿宋_GB2312" w:cs="Times New Roman"/>
          <w:sz w:val="32"/>
          <w:szCs w:val="32"/>
        </w:rPr>
        <w:t>加快建立土地收储资金池，形成土地供给良性循环。</w:t>
      </w:r>
      <w:r>
        <w:rPr>
          <w:rFonts w:hint="eastAsia" w:ascii="Times New Roman" w:hAnsi="Times New Roman" w:eastAsia="仿宋_GB2312" w:cs="Times New Roman"/>
          <w:sz w:val="32"/>
          <w:szCs w:val="32"/>
        </w:rPr>
        <w:t>大力实施标准厂房和园区整体提升工程，</w:t>
      </w:r>
      <w:r>
        <w:rPr>
          <w:rFonts w:ascii="Times New Roman" w:hAnsi="Times New Roman" w:eastAsia="仿宋_GB2312" w:cs="Times New Roman"/>
          <w:sz w:val="32"/>
          <w:szCs w:val="32"/>
        </w:rPr>
        <w:t>完善开发区水、电、路、排污管网等基础设施，全面实行</w:t>
      </w:r>
      <w:r>
        <w:rPr>
          <w:rStyle w:val="29"/>
          <w:rFonts w:ascii="Times New Roman" w:hAnsi="Times New Roman" w:eastAsia="仿宋_GB2312" w:cs="Times New Roman"/>
          <w:sz w:val="32"/>
          <w:szCs w:val="32"/>
        </w:rPr>
        <w:t>“九通一平”，</w:t>
      </w:r>
      <w:r>
        <w:rPr>
          <w:rFonts w:ascii="Times New Roman" w:hAnsi="Times New Roman" w:eastAsia="仿宋_GB2312" w:cs="Times New Roman"/>
          <w:sz w:val="32"/>
          <w:szCs w:val="32"/>
        </w:rPr>
        <w:t xml:space="preserve"> 全面落实用地、用电、用气等优惠政策，切实降低要素成本。推动设立开发区产业发展引导基金，支持与山西省融资再担保集团等政府政策性担保机构合作，设立科技融资担保公司，探索设立科技型小微企业贷款风险补偿基金和科技合作专项基金，为高新技术企业、科技型中小企业等提供融资担保服务。</w:t>
      </w:r>
      <w:r>
        <w:rPr>
          <w:rFonts w:hint="eastAsia" w:ascii="Times New Roman" w:hAnsi="Times New Roman" w:eastAsia="仿宋_GB2312" w:cs="Times New Roman"/>
          <w:sz w:val="32"/>
          <w:szCs w:val="32"/>
        </w:rPr>
        <w:t>到2025年，标准厂房达到30万平米，其中多层厂房占60%。设立产业扶持基金3个，切实增强开发区的吸引力和承载力。</w:t>
      </w:r>
    </w:p>
    <w:p>
      <w:pPr>
        <w:spacing w:line="360" w:lineRule="auto"/>
        <w:ind w:firstLine="643" w:firstLineChars="200"/>
        <w:jc w:val="both"/>
        <w:rPr>
          <w:rStyle w:val="29"/>
          <w:rFonts w:ascii="Times New Roman" w:hAnsi="Times New Roman" w:eastAsia="仿宋_GB2312" w:cs="Times New Roman"/>
          <w:sz w:val="32"/>
          <w:szCs w:val="32"/>
        </w:rPr>
      </w:pPr>
      <w:r>
        <w:rPr>
          <w:rStyle w:val="29"/>
          <w:rFonts w:ascii="Times New Roman" w:hAnsi="Times New Roman" w:eastAsia="仿宋_GB2312" w:cs="Times New Roman"/>
          <w:b/>
          <w:bCs/>
          <w:sz w:val="32"/>
          <w:szCs w:val="32"/>
        </w:rPr>
        <w:t>提升开发区运营管理水平。</w:t>
      </w:r>
      <w:r>
        <w:rPr>
          <w:rStyle w:val="29"/>
          <w:rFonts w:ascii="Times New Roman" w:hAnsi="Times New Roman" w:eastAsia="仿宋_GB2312" w:cs="Times New Roman"/>
          <w:sz w:val="32"/>
          <w:szCs w:val="32"/>
        </w:rPr>
        <w:t>持续推进开发区“三化三制”改革，加大审批授权和承接力度，切实做到干部、人员、经费、土地、政策“五到位”。全面推进管运分离改革，</w:t>
      </w:r>
      <w:r>
        <w:rPr>
          <w:rFonts w:ascii="Times New Roman" w:hAnsi="Times New Roman" w:eastAsia="仿宋_GB2312" w:cs="Times New Roman"/>
          <w:sz w:val="32"/>
          <w:szCs w:val="32"/>
        </w:rPr>
        <w:t>建立专业化的管理运营团队，积极探索市场化运营改革，充分运用市场化手段，引入国内外战略投资者、专业化园区运营商，以“整体外包”、“特许经营”等形式，支持开发区与国内外发达地区、优势企业、高等院校合作共建产业园区</w:t>
      </w:r>
      <w:r>
        <w:rPr>
          <w:rStyle w:val="29"/>
          <w:rFonts w:ascii="Times New Roman" w:hAnsi="Times New Roman" w:eastAsia="仿宋_GB2312" w:cs="Times New Roman"/>
          <w:sz w:val="32"/>
          <w:szCs w:val="32"/>
        </w:rPr>
        <w:t>。深化简政放权、选人用人、薪酬分配、管理模式、考核奖惩改革，完善开发区评价考核体系。</w:t>
      </w:r>
      <w:r>
        <w:rPr>
          <w:rStyle w:val="29"/>
          <w:rFonts w:hint="eastAsia" w:ascii="Times New Roman" w:hAnsi="Times New Roman" w:eastAsia="仿宋_GB2312" w:cs="Times New Roman"/>
          <w:sz w:val="32"/>
          <w:szCs w:val="32"/>
        </w:rPr>
        <w:t>强化开发区土地集约节约利用，</w:t>
      </w:r>
      <w:r>
        <w:rPr>
          <w:rStyle w:val="29"/>
          <w:rFonts w:ascii="Times New Roman" w:hAnsi="Times New Roman" w:eastAsia="仿宋_GB2312" w:cs="Times New Roman"/>
          <w:sz w:val="32"/>
          <w:szCs w:val="32"/>
        </w:rPr>
        <w:t>加大开发区投资强度、产出强度、税收强度的“亩产论英雄”考核，把重大项目落地作为硬性指标，引进和实施一批重大转型项目。</w:t>
      </w:r>
    </w:p>
    <w:p>
      <w:pPr>
        <w:spacing w:afterLines="50" w:line="360" w:lineRule="auto"/>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加强开发区各类平台建设。</w:t>
      </w:r>
      <w:r>
        <w:rPr>
          <w:rFonts w:ascii="Times New Roman" w:hAnsi="Times New Roman" w:eastAsia="仿宋_GB2312" w:cs="Times New Roman"/>
          <w:sz w:val="32"/>
          <w:szCs w:val="32"/>
        </w:rPr>
        <w:t>支持开发区在人才、行政审批等方面先行先试，建立开发区产业发展公共服务平台，为园区内企业提供项目申报、融资贷款、税务代理、人才招聘等基础性、公共性服务。支持开发区建设研发中心、设计中心、孵化器、加速器等各类科技创新创业载体，鼓励企业牵头创建产学研协同创新联盟，与重点院校、科研院所、重点实验室等加强联合，创建各种形式的协同创新平台。支持永济电机厂高级技工学校与与企业开展“订单式”人才培养，建立公共实训基地。</w:t>
      </w:r>
      <w:r>
        <w:rPr>
          <w:rFonts w:hint="eastAsia" w:ascii="Times New Roman" w:hAnsi="Times New Roman" w:eastAsia="仿宋_GB2312" w:cs="Times New Roman"/>
          <w:sz w:val="32"/>
          <w:szCs w:val="32"/>
        </w:rPr>
        <w:t>到2025年，开发区建设科技孵化器载体12个以上，规上企业80家，高新技术企业20家以上，引进高层次人才50人以上，金融服务机构3家以上，真正把开发区打造成永济高质量转型发展的新引擎、集聚区。</w:t>
      </w:r>
    </w:p>
    <w:tbl>
      <w:tblPr>
        <w:tblStyle w:val="19"/>
        <w:tblW w:w="8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800" w:type="dxa"/>
            <w:vAlign w:val="top"/>
          </w:tcPr>
          <w:p>
            <w:pPr>
              <w:jc w:val="both"/>
              <w:rPr>
                <w:rFonts w:ascii="Times New Roman" w:hAnsi="Times New Roman" w:eastAsia="仿宋_GB2312" w:cs="Times New Roman"/>
                <w:sz w:val="24"/>
                <w:szCs w:val="24"/>
              </w:rPr>
            </w:pPr>
            <w:r>
              <w:rPr>
                <w:rFonts w:hint="eastAsia" w:ascii="Times New Roman" w:hAnsi="Times New Roman" w:eastAsia="黑体" w:cs="Times New Roman"/>
                <w:sz w:val="28"/>
                <w:szCs w:val="28"/>
              </w:rPr>
              <w:t>专栏</w:t>
            </w:r>
            <w:r>
              <w:rPr>
                <w:rFonts w:ascii="Times New Roman" w:hAnsi="Times New Roman" w:eastAsia="黑体" w:cs="Times New Roman"/>
                <w:sz w:val="28"/>
                <w:szCs w:val="28"/>
              </w:rPr>
              <w:t>5：“十四五”开发区基础设施重点项目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8800" w:type="dxa"/>
            <w:vAlign w:val="top"/>
          </w:tcPr>
          <w:p>
            <w:pPr>
              <w:adjustRightInd w:val="0"/>
              <w:snapToGrid w:val="0"/>
              <w:spacing w:beforeLines="50" w:afterLines="50" w:line="360" w:lineRule="exact"/>
              <w:ind w:firstLine="420"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开发区标准厂房项目、三丰机电公司中小企业孵化园整体搬迁项目、机电园区“九通一平”建设项目、铝工业园区道路提升工程、开发区产城融合高质量发展建设项目、永济市产业科技创新孵化中心项目、酒文化主题公园项目、开发区智慧充电桩网络建设项目、开发区政务服务一网通建设项目、一体化网络货运公共服务平台建设项目、“天地空一体化”生态环境监测大数据平台建设项目、人工智能技术研发和市场开发项目、食品冷链物流基地建设项目、开发区智慧园区建设项目、永济市物联网应用平台、AI创新体验平台项目、开发区交通运输大数据平台及应用示范项目、产业金融生态小镇项目、新型电机省级重点实验室项目、山西省智能制造产学研中试基地项目等。</w:t>
            </w:r>
          </w:p>
        </w:tc>
      </w:tr>
    </w:tbl>
    <w:p>
      <w:pPr>
        <w:spacing w:beforeLines="50" w:afterLines="50"/>
        <w:jc w:val="center"/>
        <w:outlineLvl w:val="1"/>
        <w:rPr>
          <w:rFonts w:ascii="Times New Roman" w:hAnsi="Times New Roman" w:eastAsia="楷体_GB2312" w:cs="Times New Roman"/>
          <w:kern w:val="0"/>
          <w:sz w:val="32"/>
          <w:szCs w:val="32"/>
          <w:lang w:bidi="en-US"/>
        </w:rPr>
      </w:pPr>
      <w:bookmarkStart w:id="61" w:name="_Toc68253240"/>
      <w:r>
        <w:rPr>
          <w:rFonts w:ascii="Times New Roman" w:hAnsi="Times New Roman" w:eastAsia="楷体_GB2312" w:cs="Times New Roman"/>
          <w:kern w:val="0"/>
          <w:sz w:val="32"/>
          <w:szCs w:val="32"/>
          <w:lang w:bidi="en-US"/>
        </w:rPr>
        <w:t>第六节  壮大企业主体群落</w:t>
      </w:r>
      <w:bookmarkEnd w:id="61"/>
    </w:p>
    <w:p>
      <w:pPr>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聚焦传统产业的迭代更新和新兴产业的培育壮大，加大市场主体培育，加大政策支持力度，全面支持“个转企、小升规、规改股、股上市”，提升企业发展质量，切实引进一批、培育一批、壮大一批，不断发展壮大企业主体群落。</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实施领军企业培育计划。</w:t>
      </w:r>
      <w:r>
        <w:rPr>
          <w:rFonts w:ascii="Times New Roman" w:hAnsi="Times New Roman" w:eastAsia="仿宋_GB2312" w:cs="Times New Roman"/>
          <w:sz w:val="32"/>
          <w:szCs w:val="32"/>
        </w:rPr>
        <w:t>围绕机电制造业、新能源汽车及汽车轻量化零配件、农副产品加工、风电设备制造维修、高端印染包装等领域，持续支持中车永济电机、千军铝业等企业发挥龙头作用，鼓励凯通印染、大象集团、条山机电、光府科技等骨干企业成为行业头部企业，在项目建设、技术创新、人才引进、重组合作等方面给予专项政策支持，提升企业生产、技术研发、技术改造、科技成果转化能力和水平，着力培育拥有自主知识产权、核心竞争力强的领军企业，持续带动行业整体发展。力争到2025年，我市行业领军企业达到5家以上</w:t>
      </w:r>
      <w:r>
        <w:rPr>
          <w:rFonts w:hint="eastAsia" w:ascii="Times New Roman" w:hAnsi="Times New Roman" w:eastAsia="仿宋_GB2312" w:cs="Times New Roman"/>
          <w:sz w:val="32"/>
          <w:szCs w:val="32"/>
        </w:rPr>
        <w:t>、高技术领军企业3家以上</w:t>
      </w:r>
      <w:r>
        <w:rPr>
          <w:rFonts w:ascii="Times New Roman" w:hAnsi="Times New Roman" w:eastAsia="仿宋_GB2312" w:cs="Times New Roman"/>
          <w:sz w:val="32"/>
          <w:szCs w:val="32"/>
        </w:rPr>
        <w:t>。</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rPr>
        <w:t>实施规上工业企业倍增计划。</w:t>
      </w:r>
      <w:r>
        <w:rPr>
          <w:rFonts w:ascii="Times New Roman" w:hAnsi="Times New Roman" w:eastAsia="仿宋_GB2312" w:cs="Times New Roman"/>
          <w:sz w:val="32"/>
          <w:szCs w:val="32"/>
        </w:rPr>
        <w:t>健全完善规上企业培育库，强化规上工业企业源头培育，支持规模以下企业升规入统，夯实上规企业基础。建立完善拟上规企业数据库，实行拟上规企业领导挂钩服务责任制，对每家企业明确时间表和责任人，组织熟悉科技、经济、产业政策的高层次专家队伍，对入库企业采取“一企一策”方式开展技术研发转化、人才引进、科研以及财务管理、资本市场等方面的辅导服务。对新上规企业，加大要素保障力度、财税支持力度、融资服务力度，提高对新上规企业的政策扶持力度。</w:t>
      </w:r>
      <w:r>
        <w:rPr>
          <w:rFonts w:ascii="Times New Roman" w:hAnsi="Times New Roman" w:eastAsia="仿宋_GB2312" w:cs="Times New Roman"/>
          <w:sz w:val="32"/>
        </w:rPr>
        <w:t>力争</w:t>
      </w:r>
      <w:r>
        <w:rPr>
          <w:rFonts w:ascii="Times New Roman" w:hAnsi="Times New Roman" w:eastAsia="仿宋_GB2312" w:cs="Times New Roman"/>
          <w:sz w:val="32"/>
          <w:szCs w:val="32"/>
        </w:rPr>
        <w:t>到2025年，全市规模以上工业企业数量达到1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0家以上，其中年销售额100亿元以上的企业1家，10亿元以上的企业达到10家，5亿元以上的企业达到</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0家。</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实施“专精特新”企业培育计划。</w:t>
      </w:r>
      <w:r>
        <w:rPr>
          <w:rFonts w:ascii="Times New Roman" w:hAnsi="Times New Roman" w:eastAsia="仿宋_GB2312" w:cs="Times New Roman"/>
          <w:sz w:val="32"/>
          <w:szCs w:val="32"/>
        </w:rPr>
        <w:t>完善“专精特新”企业扶持的政策体系，加大培育“小升规”企业力度，推动中小企业专注细分领域和核心业务，走专业化、精细化、特色化、新颖化的发展道路，打造一批主营业务突出，竞争力强、成长性好的“小巨人”企业。“十四五”期间新培育“小升规”企业50户以上，省级“专精特新”企业</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0家，国家级专精特新“小巨人”</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家、科技型中小企业100家，促进科技型中小企业加速成长为高新技术企业，精心培育一批“瞪羚”企业。</w:t>
      </w:r>
      <w:r>
        <w:rPr>
          <w:rFonts w:hint="eastAsia" w:ascii="Times New Roman" w:hAnsi="Times New Roman" w:eastAsia="仿宋_GB2312" w:cs="Times New Roman"/>
          <w:sz w:val="32"/>
          <w:szCs w:val="32"/>
        </w:rPr>
        <w:t>扶持一批工艺美术企业，培育2-5家工艺美术企业小升规。</w:t>
      </w:r>
      <w:r>
        <w:rPr>
          <w:rFonts w:ascii="Times New Roman" w:hAnsi="Times New Roman" w:eastAsia="仿宋_GB2312" w:cs="Times New Roman"/>
          <w:sz w:val="32"/>
          <w:szCs w:val="32"/>
        </w:rPr>
        <w:t>全面落实</w:t>
      </w:r>
      <w:r>
        <w:rPr>
          <w:rFonts w:ascii="Times New Roman" w:hAnsi="Times New Roman" w:eastAsia="仿宋_GB2312" w:cs="Times New Roman"/>
          <w:sz w:val="32"/>
        </w:rPr>
        <w:t>国家和省支持民营经济发展政策，</w:t>
      </w:r>
      <w:r>
        <w:rPr>
          <w:rFonts w:ascii="Times New Roman" w:hAnsi="Times New Roman" w:eastAsia="仿宋_GB2312" w:cs="Times New Roman"/>
          <w:sz w:val="32"/>
          <w:szCs w:val="32"/>
        </w:rPr>
        <w:t>帮助企业不断转型升级。完善企业股改挂牌专人服务、重点联系、培训辅导机制，邀请专业机构“量身定制”股改挂牌方案，确保“十四五”期间新增</w:t>
      </w:r>
      <w:r>
        <w:rPr>
          <w:rFonts w:hint="eastAsia" w:ascii="Times New Roman" w:hAnsi="Times New Roman" w:eastAsia="仿宋_GB2312" w:cs="Times New Roman"/>
          <w:sz w:val="32"/>
          <w:szCs w:val="32"/>
        </w:rPr>
        <w:t>主板上市企业1家、</w:t>
      </w:r>
      <w:r>
        <w:rPr>
          <w:rFonts w:ascii="Times New Roman" w:hAnsi="Times New Roman" w:eastAsia="仿宋_GB2312" w:cs="Times New Roman"/>
          <w:sz w:val="32"/>
          <w:szCs w:val="32"/>
        </w:rPr>
        <w:t>“新三板”企业</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家、“晋兴板”企业10家。</w:t>
      </w:r>
    </w:p>
    <w:p>
      <w:pPr>
        <w:jc w:val="both"/>
        <w:rPr>
          <w:rFonts w:ascii="Times New Roman" w:hAnsi="Times New Roman" w:cs="Times New Roman"/>
        </w:rPr>
      </w:pPr>
      <w:r>
        <w:rPr>
          <w:rFonts w:ascii="Times New Roman" w:hAnsi="Times New Roman" w:cs="Times New Roman"/>
        </w:rPr>
        <w:br w:type="page"/>
      </w:r>
    </w:p>
    <w:p>
      <w:pPr>
        <w:spacing w:beforeLines="100" w:afterLines="100"/>
        <w:jc w:val="center"/>
        <w:outlineLvl w:val="0"/>
        <w:rPr>
          <w:rFonts w:ascii="Times New Roman" w:hAnsi="Times New Roman" w:eastAsia="黑体" w:cs="Times New Roman"/>
          <w:kern w:val="0"/>
          <w:sz w:val="32"/>
          <w:szCs w:val="32"/>
          <w:lang w:bidi="en-US"/>
        </w:rPr>
      </w:pPr>
      <w:bookmarkStart w:id="62" w:name="_Toc68253241"/>
      <w:r>
        <w:rPr>
          <w:rFonts w:ascii="Times New Roman" w:hAnsi="Times New Roman" w:eastAsia="黑体" w:cs="Times New Roman"/>
          <w:kern w:val="0"/>
          <w:sz w:val="32"/>
          <w:szCs w:val="32"/>
          <w:lang w:bidi="en-US"/>
        </w:rPr>
        <w:t>第</w:t>
      </w:r>
      <w:r>
        <w:rPr>
          <w:rFonts w:hint="eastAsia" w:ascii="Times New Roman" w:hAnsi="Times New Roman" w:eastAsia="黑体" w:cs="Times New Roman"/>
          <w:kern w:val="0"/>
          <w:sz w:val="32"/>
          <w:szCs w:val="32"/>
          <w:lang w:bidi="en-US"/>
        </w:rPr>
        <w:t>四</w:t>
      </w:r>
      <w:r>
        <w:rPr>
          <w:rFonts w:ascii="Times New Roman" w:hAnsi="Times New Roman" w:eastAsia="黑体" w:cs="Times New Roman"/>
          <w:kern w:val="0"/>
          <w:sz w:val="32"/>
          <w:szCs w:val="32"/>
          <w:lang w:bidi="en-US"/>
        </w:rPr>
        <w:t xml:space="preserve">章  </w:t>
      </w:r>
      <w:r>
        <w:rPr>
          <w:rFonts w:hint="eastAsia" w:ascii="Times New Roman" w:hAnsi="Times New Roman" w:eastAsia="黑体" w:cs="Times New Roman"/>
          <w:kern w:val="0"/>
          <w:sz w:val="32"/>
          <w:szCs w:val="32"/>
          <w:lang w:bidi="en-US"/>
        </w:rPr>
        <w:t>深入实施乡村振兴战略，建设国家现代农业示范区</w:t>
      </w:r>
      <w:bookmarkEnd w:id="62"/>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按照“扩基地、壮龙头、拓市场、强品牌、促融合”的总体思路，深入实施乡村振兴战略和农业“特”“优”战略，持续深化农业供给侧结构性改革，着力打造优势特色农业产业集群，</w:t>
      </w:r>
      <w:r>
        <w:rPr>
          <w:rFonts w:ascii="Times New Roman" w:hAnsi="Times New Roman" w:eastAsia="仿宋_GB2312" w:cs="Times New Roman"/>
          <w:color w:val="000000"/>
          <w:sz w:val="32"/>
          <w:szCs w:val="32"/>
        </w:rPr>
        <w:t>坚定不移推进农村改革发展，实施乡村建设行动，持续巩固脱贫攻坚成果和乡村振兴有效衔接，推动全市农业农村现代化迈出新步伐。</w:t>
      </w:r>
    </w:p>
    <w:p>
      <w:pPr>
        <w:spacing w:beforeLines="50" w:afterLines="50"/>
        <w:jc w:val="center"/>
        <w:outlineLvl w:val="1"/>
        <w:rPr>
          <w:rFonts w:ascii="Times New Roman" w:hAnsi="Times New Roman" w:eastAsia="楷体_GB2312" w:cs="Times New Roman"/>
          <w:kern w:val="0"/>
          <w:sz w:val="32"/>
          <w:szCs w:val="32"/>
          <w:lang w:bidi="en-US"/>
        </w:rPr>
      </w:pPr>
      <w:bookmarkStart w:id="63" w:name="_Toc68253242"/>
      <w:r>
        <w:rPr>
          <w:rFonts w:ascii="Times New Roman" w:hAnsi="Times New Roman" w:eastAsia="楷体_GB2312" w:cs="Times New Roman"/>
          <w:kern w:val="0"/>
          <w:sz w:val="32"/>
          <w:szCs w:val="32"/>
          <w:lang w:bidi="en-US"/>
        </w:rPr>
        <w:t>第一节  做大做强八大农业优势基地</w:t>
      </w:r>
      <w:bookmarkEnd w:id="63"/>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发挥资源比较优势，调整结构、优化布局、突出特色，加快推动八大农业优势基地建设，促进农业提质增效，形成功能多样、层次鲜明的现代农业生产体系。</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做强优质粮食生产基地。</w:t>
      </w:r>
      <w:r>
        <w:rPr>
          <w:rFonts w:ascii="Times New Roman" w:hAnsi="Times New Roman" w:eastAsia="仿宋_GB2312" w:cs="Times New Roman"/>
          <w:sz w:val="32"/>
          <w:szCs w:val="32"/>
        </w:rPr>
        <w:t>深入实施“藏粮于地、藏粮于技”战略，严格落实农业支持保护补贴政策，加大农业生产保险覆盖范围，切实提高农民种粮积极性。加强优质品种推广，全面推广粮食绿色高质高效生产技术和优质小麦品种，不断提高粮食单产，努力创建黄河流域粮食绿色高质高效示范基地。到2025年，</w:t>
      </w:r>
      <w:r>
        <w:rPr>
          <w:rFonts w:hint="eastAsia" w:ascii="Times New Roman" w:hAnsi="Times New Roman" w:eastAsia="仿宋_GB2312" w:cs="Times New Roman"/>
          <w:sz w:val="32"/>
          <w:szCs w:val="32"/>
        </w:rPr>
        <w:t>全市粮食总面积稳定在97万亩（含复播），</w:t>
      </w:r>
      <w:r>
        <w:rPr>
          <w:rFonts w:ascii="Times New Roman" w:hAnsi="Times New Roman" w:eastAsia="仿宋_GB2312" w:cs="Times New Roman"/>
          <w:sz w:val="32"/>
          <w:szCs w:val="32"/>
        </w:rPr>
        <w:t>良种覆盖率达98%以上，粮食平均亩产1000公斤以上，总产达到4亿公斤以上，小麦最高单产突破550公斤以上、玉米最高单产突破650公斤以上，优质专用小麦种植面积发展到20万亩，为“运城面粉”品牌创建提供优质专用原粮。</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做强优质果品生产基地。</w:t>
      </w:r>
      <w:r>
        <w:rPr>
          <w:rFonts w:ascii="Times New Roman" w:hAnsi="Times New Roman" w:eastAsia="仿宋_GB2312" w:cs="Times New Roman"/>
          <w:sz w:val="32"/>
          <w:szCs w:val="32"/>
        </w:rPr>
        <w:t>突出“名、特、优”，坚持市场导向，以提质节本增效为重点，</w:t>
      </w:r>
      <w:r>
        <w:rPr>
          <w:rFonts w:hint="eastAsia" w:ascii="Times New Roman" w:hAnsi="Times New Roman" w:eastAsia="仿宋_GB2312" w:cs="Times New Roman"/>
          <w:sz w:val="32"/>
          <w:szCs w:val="32"/>
        </w:rPr>
        <w:t>突出抓好现有40万亩干鲜果的提质增效，</w:t>
      </w:r>
      <w:r>
        <w:rPr>
          <w:rFonts w:ascii="Times New Roman" w:hAnsi="Times New Roman" w:eastAsia="仿宋_GB2312" w:cs="Times New Roman"/>
          <w:sz w:val="32"/>
          <w:szCs w:val="32"/>
        </w:rPr>
        <w:t>全面推广林下生草、水肥一体化、有机肥替代等适用先进技术和优良品种，大力发展设施水果，积极参加运城果博会、山西农博会等展会，进一步扩大永济特色水果知名度和影响力，不断提升果业附加值，努力建设以葡萄、冬枣为重点的中国特色水果优势区。到2025年，全市优质水果发展到20万亩（其中设施水果8万亩），总产量达到40万吨，果园标准化生产率达到90%以上、优果率达到95%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做强优质蔬菜生产基地。</w:t>
      </w:r>
      <w:r>
        <w:rPr>
          <w:rFonts w:ascii="Times New Roman" w:hAnsi="Times New Roman" w:eastAsia="仿宋_GB2312" w:cs="Times New Roman"/>
          <w:sz w:val="32"/>
          <w:szCs w:val="32"/>
        </w:rPr>
        <w:t>突出特色和优质，加快设施蔬菜提质增效，推广绿色有机蔬菜种植。发展无土栽培，增加反季节蔬菜生产面积。发展特色蔬菜种植，加大蔬菜出口和深加工。到2025年，全市新增蔬菜2万亩（</w:t>
      </w:r>
      <w:r>
        <w:rPr>
          <w:rFonts w:ascii="Times New Roman" w:hAnsi="Times New Roman" w:eastAsia="楷体_GB2312" w:cs="Times New Roman"/>
          <w:sz w:val="32"/>
          <w:szCs w:val="32"/>
        </w:rPr>
        <w:t>设施蔬菜0.5万亩、露地特色蔬菜1.5万亩）</w:t>
      </w:r>
      <w:r>
        <w:rPr>
          <w:rFonts w:ascii="Times New Roman" w:hAnsi="Times New Roman" w:eastAsia="仿宋_GB2312" w:cs="Times New Roman"/>
          <w:sz w:val="32"/>
          <w:szCs w:val="32"/>
        </w:rPr>
        <w:t>，蔬菜种植总面积</w:t>
      </w:r>
      <w:r>
        <w:rPr>
          <w:rFonts w:hint="eastAsia" w:ascii="Times New Roman" w:hAnsi="Times New Roman" w:eastAsia="仿宋_GB2312" w:cs="Times New Roman"/>
          <w:sz w:val="32"/>
          <w:szCs w:val="32"/>
        </w:rPr>
        <w:t>稳定在9万亩</w:t>
      </w:r>
      <w:r>
        <w:rPr>
          <w:rFonts w:ascii="Times New Roman" w:hAnsi="Times New Roman" w:eastAsia="仿宋_GB2312" w:cs="Times New Roman"/>
          <w:sz w:val="32"/>
          <w:szCs w:val="32"/>
        </w:rPr>
        <w:t>，总产量达到15万吨。</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做强水产健康养殖基地。</w:t>
      </w:r>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rPr>
        <w:t>成功</w:t>
      </w:r>
      <w:r>
        <w:rPr>
          <w:rFonts w:ascii="Times New Roman" w:hAnsi="Times New Roman" w:eastAsia="仿宋_GB2312" w:cs="Times New Roman"/>
          <w:sz w:val="32"/>
          <w:szCs w:val="32"/>
        </w:rPr>
        <w:t>创建国家级渔业健康养殖示范县为引领，</w:t>
      </w:r>
      <w:r>
        <w:rPr>
          <w:rFonts w:hint="eastAsia" w:ascii="Times New Roman" w:hAnsi="Times New Roman" w:eastAsia="仿宋_GB2312" w:cs="Times New Roman"/>
          <w:sz w:val="32"/>
          <w:szCs w:val="32"/>
        </w:rPr>
        <w:t>实施养殖场和池塘生态化改造提升工程，依托海大集团，大力发展品质优、价值高的水产养殖品种，积极探索莲渔共养、稻蟹混养等模式。依托大象、牧原、长荣、超人等龙头企业，大力发展现代畜牧业。</w:t>
      </w:r>
      <w:r>
        <w:rPr>
          <w:rFonts w:ascii="Times New Roman" w:hAnsi="Times New Roman" w:eastAsia="仿宋_GB2312" w:cs="Times New Roman"/>
          <w:sz w:val="32"/>
          <w:szCs w:val="32"/>
        </w:rPr>
        <w:t>支持养殖尾水处理及循环利用等技术装备升级改造，强化水产养殖用饲料、兽药等投入品管理，建设一批国家级、省级水产健康养殖示范场，全面推进生态绿色健康养殖。到2025年，全市水产养殖面积稳定在</w:t>
      </w:r>
      <w:r>
        <w:rPr>
          <w:rFonts w:hint="eastAsia" w:ascii="Times New Roman" w:hAnsi="Times New Roman" w:eastAsia="仿宋_GB2312" w:cs="Times New Roman"/>
          <w:sz w:val="32"/>
          <w:szCs w:val="32"/>
        </w:rPr>
        <w:t>1.5万亩以上</w:t>
      </w:r>
      <w:r>
        <w:rPr>
          <w:rFonts w:ascii="Times New Roman" w:hAnsi="Times New Roman" w:eastAsia="仿宋_GB2312" w:cs="Times New Roman"/>
          <w:sz w:val="32"/>
          <w:szCs w:val="32"/>
        </w:rPr>
        <w:t>，水产品产量保持在1.7万吨以上。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做强中药材产业基地。</w:t>
      </w:r>
      <w:r>
        <w:rPr>
          <w:rFonts w:ascii="Times New Roman" w:hAnsi="Times New Roman" w:eastAsia="仿宋_GB2312" w:cs="Times New Roman"/>
          <w:sz w:val="32"/>
          <w:szCs w:val="32"/>
        </w:rPr>
        <w:t>按照区域化布局、规模化发展要求，以汉广集团</w:t>
      </w:r>
      <w:r>
        <w:rPr>
          <w:rFonts w:hint="eastAsia" w:ascii="Times New Roman" w:hAnsi="Times New Roman" w:eastAsia="仿宋_GB2312" w:cs="Times New Roman"/>
          <w:sz w:val="32"/>
          <w:szCs w:val="32"/>
        </w:rPr>
        <w:t>、世邦农业</w:t>
      </w:r>
      <w:r>
        <w:rPr>
          <w:rFonts w:ascii="Times New Roman" w:hAnsi="Times New Roman" w:eastAsia="仿宋_GB2312" w:cs="Times New Roman"/>
          <w:sz w:val="32"/>
          <w:szCs w:val="32"/>
        </w:rPr>
        <w:t>为依托，加强与科研院所的合作，</w:t>
      </w:r>
      <w:r>
        <w:rPr>
          <w:rFonts w:hint="eastAsia" w:ascii="Times New Roman" w:hAnsi="Times New Roman" w:eastAsia="仿宋_GB2312" w:cs="Times New Roman"/>
          <w:sz w:val="32"/>
          <w:szCs w:val="32"/>
        </w:rPr>
        <w:t>大力发展连翘、金银花等中药材种植，</w:t>
      </w:r>
      <w:r>
        <w:rPr>
          <w:rFonts w:ascii="Times New Roman" w:hAnsi="Times New Roman" w:eastAsia="仿宋_GB2312" w:cs="Times New Roman"/>
          <w:sz w:val="32"/>
          <w:szCs w:val="32"/>
        </w:rPr>
        <w:t>大力发展中药材精深加工，推进中药材标准化基地建设，支持中药配方生产，培育壮大品牌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形成</w:t>
      </w:r>
      <w:r>
        <w:rPr>
          <w:rFonts w:ascii="Times New Roman" w:hAnsi="Times New Roman" w:eastAsia="仿宋_GB2312" w:cs="Times New Roman"/>
          <w:sz w:val="32"/>
          <w:szCs w:val="32"/>
          <w:lang w:val="zh-CN" w:bidi="zh-CN"/>
        </w:rPr>
        <w:t>“中药</w:t>
      </w:r>
      <w:r>
        <w:rPr>
          <w:rFonts w:ascii="Times New Roman" w:hAnsi="Times New Roman" w:eastAsia="仿宋_GB2312" w:cs="Times New Roman"/>
          <w:sz w:val="32"/>
          <w:szCs w:val="32"/>
        </w:rPr>
        <w:t>材种植-精深加工-中药提取</w:t>
      </w:r>
      <w:r>
        <w:rPr>
          <w:rFonts w:ascii="Times New Roman" w:hAnsi="Times New Roman" w:eastAsia="仿宋_GB2312" w:cs="Times New Roman"/>
          <w:sz w:val="32"/>
          <w:szCs w:val="32"/>
          <w:lang w:val="zh-CN" w:bidi="zh-CN"/>
        </w:rPr>
        <w:t>”产业</w:t>
      </w:r>
      <w:r>
        <w:rPr>
          <w:rFonts w:ascii="Times New Roman" w:hAnsi="Times New Roman" w:eastAsia="仿宋_GB2312" w:cs="Times New Roman"/>
          <w:sz w:val="32"/>
          <w:szCs w:val="32"/>
        </w:rPr>
        <w:t>链条，建设中药材种植、初加工和研发的产业化体系和市场营销体系，加快建设中医药强市。到2025年，全市中药材种植面积</w:t>
      </w:r>
      <w:r>
        <w:rPr>
          <w:rFonts w:hint="eastAsia" w:ascii="Times New Roman" w:hAnsi="Times New Roman" w:eastAsia="仿宋_GB2312" w:cs="Times New Roman"/>
          <w:sz w:val="32"/>
          <w:szCs w:val="32"/>
        </w:rPr>
        <w:t>达到3</w:t>
      </w:r>
      <w:r>
        <w:rPr>
          <w:rFonts w:ascii="Times New Roman" w:hAnsi="Times New Roman" w:eastAsia="仿宋_GB2312" w:cs="Times New Roman"/>
          <w:sz w:val="32"/>
          <w:szCs w:val="32"/>
        </w:rPr>
        <w:t>万亩以上。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做强农产品加工基地。</w:t>
      </w:r>
      <w:r>
        <w:rPr>
          <w:rFonts w:ascii="Times New Roman" w:hAnsi="Times New Roman" w:eastAsia="仿宋_GB2312" w:cs="Times New Roman"/>
          <w:sz w:val="32"/>
          <w:szCs w:val="32"/>
        </w:rPr>
        <w:t>大力推进农产品产地初加工，加强农产品加工产业园区建设，建立完善农产品加工技术研发体系。支持农产品精深加工，加快农产品深加工企业的整合、引进，培育农产品加工领军企业。到2025年，全市农产品加工转化率达到70%以上，销售收入突破85亿元，培育引进年销售收入亿元以上重点骨干企业10家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做强农产品物流和储运基地。</w:t>
      </w:r>
      <w:r>
        <w:rPr>
          <w:rFonts w:ascii="Times New Roman" w:hAnsi="Times New Roman" w:eastAsia="仿宋_GB2312" w:cs="Times New Roman"/>
          <w:sz w:val="32"/>
          <w:szCs w:val="32"/>
        </w:rPr>
        <w:t>以创建省级现代农业产业园为引领，努力打造永济贮藏保鲜设施先进、物流体系发达完善的农产品物流集散中心和储运基地。到2025年，全市新建20座产地恒温冷库或气调库，果品产地恒温保鲜储存能力达80万吨，完成10个县级农产品综合批发市场、乡村产地市场、田头市场的升级改造。</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做强休闲观光农业基地。</w:t>
      </w:r>
      <w:r>
        <w:rPr>
          <w:rFonts w:ascii="Times New Roman" w:hAnsi="Times New Roman" w:eastAsia="仿宋_GB2312" w:cs="Times New Roman"/>
          <w:sz w:val="32"/>
          <w:szCs w:val="32"/>
        </w:rPr>
        <w:t>依托我市丰富的旅游资源和完善的现代农业基础，立足美丽宜居示范村、田园综合体、农家乐、休闲观光农业园区等建设主体，整合资源，深入推进农旅融合发展，加快培育休闲农业、观赏农业、创意农业、体验农业、养生农业等新型业态，促进农业增效和旅游产业升级，形成“以农促旅、以旅强农、产业互动、优势互补”农旅发展大趋势。到2025年，全市新增休闲观光农业园区5个，开发农旅融合深度游线路</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条。</w:t>
      </w:r>
    </w:p>
    <w:p>
      <w:pPr>
        <w:spacing w:beforeLines="50" w:afterLines="50"/>
        <w:jc w:val="center"/>
        <w:outlineLvl w:val="1"/>
        <w:rPr>
          <w:rFonts w:ascii="Times New Roman" w:hAnsi="Times New Roman" w:eastAsia="楷体_GB2312" w:cs="Times New Roman"/>
          <w:kern w:val="0"/>
          <w:sz w:val="32"/>
          <w:szCs w:val="32"/>
          <w:lang w:bidi="en-US"/>
        </w:rPr>
      </w:pPr>
      <w:bookmarkStart w:id="64" w:name="_Toc68253243"/>
      <w:r>
        <w:rPr>
          <w:rFonts w:ascii="Times New Roman" w:hAnsi="Times New Roman" w:eastAsia="楷体_GB2312" w:cs="Times New Roman"/>
          <w:kern w:val="0"/>
          <w:sz w:val="32"/>
          <w:szCs w:val="32"/>
          <w:lang w:bidi="en-US"/>
        </w:rPr>
        <w:t>第二节  打造</w:t>
      </w:r>
      <w:r>
        <w:rPr>
          <w:rFonts w:hint="eastAsia" w:ascii="Times New Roman" w:hAnsi="Times New Roman" w:eastAsia="楷体_GB2312" w:cs="Times New Roman"/>
          <w:kern w:val="0"/>
          <w:sz w:val="32"/>
          <w:szCs w:val="32"/>
          <w:lang w:bidi="en-US"/>
        </w:rPr>
        <w:t>四</w:t>
      </w:r>
      <w:r>
        <w:rPr>
          <w:rFonts w:ascii="Times New Roman" w:hAnsi="Times New Roman" w:eastAsia="楷体_GB2312" w:cs="Times New Roman"/>
          <w:kern w:val="0"/>
          <w:sz w:val="32"/>
          <w:szCs w:val="32"/>
          <w:lang w:bidi="en-US"/>
        </w:rPr>
        <w:t>大特色精深加工集群</w:t>
      </w:r>
      <w:bookmarkEnd w:id="64"/>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以创建全国农村一二三产业融合发展先导区为牵引，以特色化、精细化、功能化为方向，以市场需求为导向，扶持现有企业加快技术改造、升级换代、强强联合，不断开发适合现代消费趋势和饮食文化的新产品，打造特色品牌，扩大市场占有率。</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打造优质果菜加工产业集群。</w:t>
      </w:r>
      <w:r>
        <w:rPr>
          <w:rFonts w:ascii="Times New Roman" w:hAnsi="Times New Roman" w:eastAsia="仿宋_GB2312" w:cs="Times New Roman"/>
          <w:sz w:val="32"/>
          <w:szCs w:val="32"/>
        </w:rPr>
        <w:t>以葡萄、冬枣、苹果、核桃等干鲜果资源优势为依托，扩大加工产能，带动产品增值。重点提高水果采后清洗、分级、预冷、杀菌、打蜡、包装等商品化处理程度和冷藏运输比例，积极发展果菜加工和精深加工产品。以山西（运城）国际果品交易博览会为平台，把永济打造成全国知名葡萄、冬枣、芦笋等菜果加工生产基地，推进果品转型升级，提升永济果品的国内外市场竞争力。重点支持安德利果汁、国强食品、华盛食品等农业企业，以企业化形式加快葡萄、冬枣储藏保鲜库和物流交易市场建设。到2025年，年加工各类果菜100万吨，恒温保鲜果库达到50座，总贮量达到20万吨。</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打造面粉食品加工产业集群。</w:t>
      </w:r>
      <w:r>
        <w:rPr>
          <w:rFonts w:ascii="Times New Roman" w:hAnsi="Times New Roman" w:eastAsia="仿宋_GB2312" w:cs="Times New Roman"/>
          <w:sz w:val="32"/>
          <w:szCs w:val="32"/>
        </w:rPr>
        <w:t>利用优质小麦生产优势，建立完善技术标准，大力发展挂面、馒头、饼子、麻花、糕点等具有永济特色的面粉加工产业，进一步开发特色面食新产品。重点发展以绿色品牌为特点的精制粉，采用分层碾磨制粉技术对小麦各营养部分进行分离加工，实现营养型谷物营养资源的充分利用，实现高附加值加工，为永济在外从事餐饮饭店提供优质的面粉。鼓励主食糕点</w:t>
      </w:r>
      <w:r>
        <w:rPr>
          <w:rFonts w:ascii="Times New Roman" w:hAnsi="Times New Roman" w:eastAsia="仿宋_GB2312" w:cs="Times New Roman"/>
          <w:sz w:val="32"/>
          <w:szCs w:val="32"/>
          <w:lang w:val="zh-CN" w:bidi="zh-CN"/>
        </w:rPr>
        <w:t>“老</w:t>
      </w:r>
      <w:r>
        <w:rPr>
          <w:rFonts w:ascii="Times New Roman" w:hAnsi="Times New Roman" w:eastAsia="仿宋_GB2312" w:cs="Times New Roman"/>
          <w:sz w:val="32"/>
          <w:szCs w:val="32"/>
        </w:rPr>
        <w:t>字号”企业，挖掘传统老工艺，开发新工艺，打造具有鲜明地域特色的主食糕点和面食文化。重点扶持老冯家、蒲雪、皇龙、鑫麦康、裴牌、雪峰面粉等加工企业，打造具有永济特色的个性化、多样化、功能化面粉面食。到</w:t>
      </w:r>
      <w:r>
        <w:rPr>
          <w:rFonts w:ascii="Times New Roman" w:hAnsi="Times New Roman" w:eastAsia="仿宋_GB2312" w:cs="Times New Roman"/>
          <w:sz w:val="32"/>
          <w:szCs w:val="32"/>
          <w:lang w:bidi="zh-CN"/>
        </w:rPr>
        <w:t>2025年，</w:t>
      </w:r>
      <w:r>
        <w:rPr>
          <w:rFonts w:ascii="Times New Roman" w:hAnsi="Times New Roman" w:eastAsia="仿宋_GB2312" w:cs="Times New Roman"/>
          <w:sz w:val="32"/>
          <w:szCs w:val="32"/>
        </w:rPr>
        <w:t>全市粮食加工转化率达到85%。</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打造肉制品深加工产业集群。</w:t>
      </w:r>
      <w:r>
        <w:rPr>
          <w:rFonts w:ascii="Times New Roman" w:hAnsi="Times New Roman" w:eastAsia="仿宋_GB2312" w:cs="Times New Roman"/>
          <w:sz w:val="32"/>
          <w:szCs w:val="32"/>
        </w:rPr>
        <w:t>鼓励牧原、长荣集团两大养猪骨干企业投资建设屠宰、加工项目，逐步向深加工企业转型发展，支持商业总公司年屠宰生猪50万头和冷链物流项目建设，培育和发展分割肉、熟肉、膳食产品、快餐食品、方便休闲食品等深加工企业。推进传统畜禽熟食工业化生产步伐，依托大象集团，加快传统畜禽熟食的发展，开发具有浓郁地方特色的膳食产品，加强产业链上下游合作，提高畜牧业发展水平。重点支持永济牧原、长荣农科、超人奶业、联农猪业、东升养猪等畜禽养殖龙头企业，提升技术、扩大规模。到2025年</w:t>
      </w:r>
      <w:r>
        <w:rPr>
          <w:rFonts w:ascii="Times New Roman" w:hAnsi="Times New Roman" w:eastAsia="仿宋_GB2312" w:cs="Times New Roman"/>
          <w:sz w:val="32"/>
          <w:szCs w:val="32"/>
          <w:lang w:val="zh-CN" w:bidi="zh-CN"/>
        </w:rPr>
        <w:t>，</w:t>
      </w:r>
      <w:r>
        <w:rPr>
          <w:rFonts w:ascii="Times New Roman" w:hAnsi="Times New Roman" w:eastAsia="仿宋_GB2312" w:cs="Times New Roman"/>
          <w:sz w:val="32"/>
          <w:szCs w:val="32"/>
        </w:rPr>
        <w:t>肉制品深加工龙头企业达到</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家以上。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打造饮品酿品产业集群。</w:t>
      </w:r>
      <w:r>
        <w:rPr>
          <w:rFonts w:ascii="Times New Roman" w:hAnsi="Times New Roman" w:eastAsia="仿宋_GB2312" w:cs="Times New Roman"/>
          <w:sz w:val="32"/>
          <w:szCs w:val="32"/>
        </w:rPr>
        <w:t>依托我市丰富的粮食、水果资源优势，加强产品研发和市场推广，大力发展果汁、饮品、苹果醋、桑落酒、芦笋保健酒等特色饮品。挖掘悠久的酿酒酿醋文化传统和独特的生产工艺，加大品牌提升、功效挖掘、市场开发力度，支持萃丰鹿业、张营醋业、安德利果汁、桑落酒业、汇蒲醋业等骨干企业提品质、上规模，做强我市酿造业。</w:t>
      </w:r>
    </w:p>
    <w:p>
      <w:pPr>
        <w:spacing w:beforeLines="50" w:afterLines="50"/>
        <w:jc w:val="center"/>
        <w:outlineLvl w:val="1"/>
        <w:rPr>
          <w:rFonts w:ascii="Times New Roman" w:hAnsi="Times New Roman" w:eastAsia="楷体_GB2312" w:cs="Times New Roman"/>
          <w:kern w:val="0"/>
          <w:sz w:val="32"/>
          <w:szCs w:val="32"/>
          <w:lang w:bidi="en-US"/>
        </w:rPr>
      </w:pPr>
      <w:bookmarkStart w:id="65" w:name="_Toc68253244"/>
      <w:r>
        <w:rPr>
          <w:rFonts w:ascii="Times New Roman" w:hAnsi="Times New Roman" w:eastAsia="楷体_GB2312" w:cs="Times New Roman"/>
          <w:kern w:val="0"/>
          <w:sz w:val="32"/>
          <w:szCs w:val="32"/>
          <w:lang w:bidi="en-US"/>
        </w:rPr>
        <w:t>第三节  提升农业发展质量和效益</w:t>
      </w:r>
      <w:bookmarkEnd w:id="65"/>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实施科技兴农和质量兴农战略，深入推进农业优质化、绿色化、品牌化发展，高质量打造省级现代农业产业园，全面提高农业综合生产能力和市场竞争力。</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抓好高标准农田建设。</w:t>
      </w:r>
      <w:r>
        <w:rPr>
          <w:rFonts w:ascii="Times New Roman" w:hAnsi="Times New Roman" w:eastAsia="仿宋_GB2312" w:cs="Times New Roman"/>
          <w:sz w:val="32"/>
          <w:szCs w:val="32"/>
        </w:rPr>
        <w:t>把保障粮食安全作为农业现代化的首要任务，划定粮食生产功能区和重要农产品生产保护区。加强规划布局，统筹实施土地平整、小型水源、田间灌排、农田防护与生态环境、田间道路与土壤改良等工程，进一步推进高标准农田建设，“十四五”时期建设高标准农田32万亩，提升土壤蓄水蓄肥能力，提高耕地质量。健全农田管护机制，完善高标准农田田间设施，着力建设农田节水灌溉设施和配套工程，强化末级渠系和田间灌溉管路，打通农田灌溉“最后一公里”。</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全面推进科技兴农、绿色兴农。</w:t>
      </w:r>
      <w:r>
        <w:rPr>
          <w:rFonts w:ascii="Times New Roman" w:hAnsi="Times New Roman" w:eastAsia="仿宋_GB2312" w:cs="Times New Roman"/>
          <w:sz w:val="32"/>
          <w:szCs w:val="32"/>
        </w:rPr>
        <w:t>全面推广适用我市的良种良法，推广渗水地膜穴播、果菜水肥一体化等集成技术，实现主要粮食作物主推技术到位率达到95%以上、良种在农业增产中的贡献率达到60%以上、商品化供种率达到85%以上，建设10个科技创新示范基地。积极开展</w:t>
      </w:r>
      <w:r>
        <w:rPr>
          <w:rFonts w:hint="eastAsia" w:ascii="Times New Roman" w:hAnsi="Times New Roman" w:eastAsia="仿宋_GB2312" w:cs="Times New Roman"/>
          <w:sz w:val="32"/>
          <w:szCs w:val="32"/>
        </w:rPr>
        <w:t>农机先进装备</w:t>
      </w:r>
      <w:r>
        <w:rPr>
          <w:rFonts w:ascii="Times New Roman" w:hAnsi="Times New Roman" w:eastAsia="仿宋_GB2312" w:cs="Times New Roman"/>
          <w:sz w:val="32"/>
          <w:szCs w:val="32"/>
        </w:rPr>
        <w:t>推广，创建</w:t>
      </w:r>
      <w:r>
        <w:rPr>
          <w:rFonts w:hint="eastAsia" w:ascii="Times New Roman" w:hAnsi="Times New Roman" w:eastAsia="仿宋_GB2312" w:cs="Times New Roman"/>
          <w:sz w:val="32"/>
          <w:szCs w:val="32"/>
        </w:rPr>
        <w:t>国家级</w:t>
      </w:r>
      <w:r>
        <w:rPr>
          <w:rFonts w:ascii="Times New Roman" w:hAnsi="Times New Roman" w:eastAsia="仿宋_GB2312" w:cs="Times New Roman"/>
          <w:sz w:val="32"/>
          <w:szCs w:val="32"/>
        </w:rPr>
        <w:t>农业机械化综合示范县，主要农作物耕种收机械化水平达到90%以上。加强农业技术推广、疫情疫病防治及农业信息化建设，加强重大病虫害防控，创建国家级全程病虫绿色防控示范区和高标准病虫害绿色防控示范区，病虫害绿色防控达到70%以上，确保粮食播种面积和产量持续稳定。大力推行农业绿色生产方式，推进精准施肥、科学用药、化肥农药负增长行动，开展农业废弃物资源化利用试点，广泛开展“粮-畜-沼”“畜-沼-菜”“畜-沼-果”生态农业循环体系建设，全市农作物秸秆综合利用率达到90%以上，农膜、地膜回收率达到80%以上，畜禽粪污综合利用率达到85%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创建国家级农产品质量安全县（市）。</w:t>
      </w:r>
      <w:r>
        <w:rPr>
          <w:rFonts w:ascii="Times New Roman" w:hAnsi="Times New Roman" w:eastAsia="仿宋_GB2312" w:cs="Times New Roman"/>
          <w:sz w:val="32"/>
          <w:szCs w:val="32"/>
        </w:rPr>
        <w:t>巩固省级农产品质量安全县创建成果，加快“三品一标”认证步伐，全力打造“永济葡萄”“永济冬枣”“永济芦笋”“永济柿子”“永济大米”等特色品牌，</w:t>
      </w:r>
      <w:r>
        <w:rPr>
          <w:rStyle w:val="29"/>
          <w:rFonts w:ascii="Times New Roman" w:hAnsi="Times New Roman" w:eastAsia="仿宋_GB2312" w:cs="Times New Roman"/>
          <w:sz w:val="32"/>
          <w:szCs w:val="32"/>
        </w:rPr>
        <w:t>按照“区域公用品牌+企业产品品牌</w:t>
      </w:r>
      <w:r>
        <w:rPr>
          <w:rStyle w:val="29"/>
          <w:rFonts w:ascii="Times New Roman" w:hAnsi="Times New Roman" w:eastAsia="仿宋_GB2312" w:cs="Times New Roman"/>
          <w:sz w:val="32"/>
          <w:szCs w:val="32"/>
          <w:lang w:val="zh-CN"/>
        </w:rPr>
        <w:t>”的</w:t>
      </w:r>
      <w:r>
        <w:rPr>
          <w:rStyle w:val="29"/>
          <w:rFonts w:ascii="Times New Roman" w:hAnsi="Times New Roman" w:eastAsia="仿宋_GB2312" w:cs="Times New Roman"/>
          <w:sz w:val="32"/>
          <w:szCs w:val="32"/>
        </w:rPr>
        <w:t>母子品牌模式推进品牌建设，</w:t>
      </w:r>
      <w:r>
        <w:rPr>
          <w:rFonts w:ascii="Times New Roman" w:hAnsi="Times New Roman" w:eastAsia="仿宋_GB2312" w:cs="Times New Roman"/>
          <w:sz w:val="32"/>
          <w:szCs w:val="32"/>
        </w:rPr>
        <w:t>积极争创农产品地理标志商标、中国名牌农产品、中华老字号和中国驰名商标。大力发展有机、绿色、无公害特色产品，加快食用农产品合格证制度推广步伐，扩大农业标准化生产技术覆盖范围。到2025年，全面推动地方农业标准体系建设，完善质量安全追溯体系，注册地理标志证明商标和地理标志产品10个，申报15个部省级区域公用品牌，</w:t>
      </w:r>
      <w:r>
        <w:rPr>
          <w:rStyle w:val="29"/>
          <w:rFonts w:ascii="Times New Roman" w:hAnsi="Times New Roman" w:eastAsia="仿宋_GB2312" w:cs="Times New Roman"/>
          <w:sz w:val="32"/>
          <w:szCs w:val="32"/>
          <w:lang w:val="zh-CN"/>
        </w:rPr>
        <w:t>“三品</w:t>
      </w:r>
      <w:r>
        <w:rPr>
          <w:rStyle w:val="29"/>
          <w:rFonts w:ascii="Times New Roman" w:hAnsi="Times New Roman" w:eastAsia="仿宋_GB2312" w:cs="Times New Roman"/>
          <w:sz w:val="32"/>
          <w:szCs w:val="32"/>
        </w:rPr>
        <w:t>一标”产品认证数量突破60个。</w:t>
      </w:r>
    </w:p>
    <w:p>
      <w:pPr>
        <w:pStyle w:val="17"/>
        <w:ind w:firstLine="643" w:firstLineChars="200"/>
        <w:jc w:val="both"/>
        <w:rPr>
          <w:rFonts w:ascii="Times New Roman" w:hAnsi="Times New Roman" w:eastAsia="仿宋_GB2312"/>
          <w:sz w:val="32"/>
          <w:szCs w:val="32"/>
        </w:rPr>
      </w:pPr>
      <w:r>
        <w:rPr>
          <w:rFonts w:ascii="Times New Roman" w:hAnsi="Times New Roman" w:eastAsia="仿宋_GB2312"/>
          <w:b/>
          <w:bCs/>
          <w:sz w:val="32"/>
          <w:szCs w:val="32"/>
        </w:rPr>
        <w:t>加快推动现代农业产业园建设。</w:t>
      </w:r>
      <w:r>
        <w:rPr>
          <w:rFonts w:ascii="Times New Roman" w:hAnsi="Times New Roman" w:eastAsia="仿宋_GB2312"/>
          <w:sz w:val="32"/>
          <w:szCs w:val="32"/>
        </w:rPr>
        <w:t>将设施农业作为主攻方向，坚持推广先进技术、先进模式，突出抓好省级现代农业产业园卿头、开张核心园区建设，全面提升核心园区质量和标准。以中农乐、凡谷归真等现代农业园区为引领，强力推进世邦农业现代中药健康产业园、庄子雨露阳光城郊休闲农业等特色精品农业园区建设，每个镇街建设2个高标准示范园。力争到“十四五”末，创建国家级现代农业产业园1个、省级现代农业产业园2个、市县级现代农业产业园10个。加快沿黄农业产业园建设，打造渔旅融合区、芦笋康养基地、</w:t>
      </w:r>
      <w:r>
        <w:rPr>
          <w:rFonts w:hint="eastAsia" w:ascii="Times New Roman" w:hAnsi="Times New Roman" w:eastAsia="仿宋_GB2312"/>
          <w:sz w:val="32"/>
          <w:szCs w:val="32"/>
        </w:rPr>
        <w:t>三北防护林</w:t>
      </w:r>
      <w:r>
        <w:rPr>
          <w:rFonts w:ascii="Times New Roman" w:hAnsi="Times New Roman" w:eastAsia="仿宋_GB2312"/>
          <w:sz w:val="32"/>
          <w:szCs w:val="32"/>
        </w:rPr>
        <w:t>示范区、莲藕休闲观光园、水稻种植基地、小麦核心示范区、经济林核心示范区。</w:t>
      </w:r>
    </w:p>
    <w:p>
      <w:pPr>
        <w:pStyle w:val="17"/>
        <w:spacing w:afterLines="50"/>
        <w:ind w:firstLine="643" w:firstLineChars="200"/>
        <w:jc w:val="both"/>
        <w:rPr>
          <w:rFonts w:ascii="Times New Roman" w:hAnsi="Times New Roman"/>
        </w:rPr>
      </w:pPr>
      <w:r>
        <w:rPr>
          <w:rFonts w:hint="eastAsia" w:ascii="Times New Roman" w:hAnsi="Times New Roman" w:eastAsia="仿宋_GB2312"/>
          <w:b/>
          <w:bCs/>
          <w:sz w:val="32"/>
          <w:szCs w:val="32"/>
        </w:rPr>
        <w:t>叫响</w:t>
      </w:r>
      <w:r>
        <w:rPr>
          <w:rFonts w:ascii="Times New Roman" w:hAnsi="Times New Roman" w:eastAsia="仿宋_GB2312"/>
          <w:b/>
          <w:bCs/>
          <w:sz w:val="32"/>
          <w:szCs w:val="32"/>
        </w:rPr>
        <w:t>永济餐饮业品牌。</w:t>
      </w:r>
      <w:r>
        <w:rPr>
          <w:rFonts w:ascii="Times New Roman" w:hAnsi="Times New Roman" w:eastAsia="仿宋_GB2312"/>
          <w:sz w:val="32"/>
          <w:szCs w:val="32"/>
        </w:rPr>
        <w:t>以面食集团为龙头，建设特色餐饮研究中心、面食博物馆、创业孵化基地等，打造永济面食文化产业园。举办“中国●永济面食文化节”，申请“永济味道”地方公共品牌和国家级地理标志产品。充分发挥小吃餐饮行业协会和在外务工人员服务站作用，做优做强在外餐饮业，探索“集团+店面”模式，每年打造3家旗舰店、100家高标准示范店，推动在外餐饮品牌化、标准化、连锁化发展。延伸面粉加工、牛肉加工、调料加工产业链条，建立物料配送体系，将永济优质农产品统一配送给在外餐饮户，确保食材绿色、安全。</w:t>
      </w:r>
    </w:p>
    <w:tbl>
      <w:tblPr>
        <w:tblStyle w:val="19"/>
        <w:tblW w:w="8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700" w:type="dxa"/>
            <w:vAlign w:val="top"/>
          </w:tcPr>
          <w:p>
            <w:pPr>
              <w:jc w:val="both"/>
              <w:rPr>
                <w:rFonts w:ascii="Times New Roman" w:hAnsi="Times New Roman" w:eastAsia="仿宋_GB2312" w:cs="Times New Roman"/>
                <w:sz w:val="24"/>
                <w:szCs w:val="24"/>
              </w:rPr>
            </w:pPr>
            <w:r>
              <w:rPr>
                <w:rFonts w:hint="eastAsia" w:ascii="黑体" w:hAnsi="黑体" w:eastAsia="黑体" w:cs="黑体"/>
                <w:sz w:val="28"/>
                <w:szCs w:val="28"/>
              </w:rPr>
              <w:t>专栏</w:t>
            </w:r>
            <w:r>
              <w:rPr>
                <w:rFonts w:ascii="黑体" w:hAnsi="黑体" w:eastAsia="黑体" w:cs="黑体"/>
                <w:sz w:val="28"/>
                <w:szCs w:val="28"/>
              </w:rPr>
              <w:t>6</w:t>
            </w:r>
            <w:r>
              <w:rPr>
                <w:rFonts w:hint="eastAsia" w:ascii="黑体" w:hAnsi="黑体" w:eastAsia="黑体" w:cs="黑体"/>
                <w:sz w:val="28"/>
                <w:szCs w:val="28"/>
              </w:rPr>
              <w:t>：“十四五”农业发展重点项目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4" w:hRule="atLeast"/>
        </w:trPr>
        <w:tc>
          <w:tcPr>
            <w:tcW w:w="8700" w:type="dxa"/>
            <w:vAlign w:val="top"/>
          </w:tcPr>
          <w:p>
            <w:pPr>
              <w:widowControl w:val="0"/>
              <w:wordWrap/>
              <w:adjustRightInd w:val="0"/>
              <w:snapToGrid w:val="0"/>
              <w:spacing w:beforeLines="50" w:line="400" w:lineRule="exact"/>
              <w:ind w:left="0" w:leftChars="0" w:right="0" w:firstLine="413" w:firstLineChars="196"/>
              <w:jc w:val="both"/>
              <w:textAlignment w:val="auto"/>
              <w:outlineLvl w:val="9"/>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现代农业：</w:t>
            </w:r>
            <w:r>
              <w:rPr>
                <w:rFonts w:hint="eastAsia" w:ascii="方正小标宋简体" w:hAnsi="方正小标宋简体" w:eastAsia="方正小标宋简体" w:cs="方正小标宋简体"/>
                <w:szCs w:val="21"/>
              </w:rPr>
              <w:t>海大数字渔业产业链项目、“八大万亩基地”项目、小麦绿色高质高效创建项目，永济市有机旱作小麦生产基地项目，高标准农田建设项目、韩阳镇水稻基地建设项目、韩阳镇莲菜基地建设项目、蒲州镇小麦绿色高质高效示范片建设项目、永济牧原集团生猪养殖场建设项目、60万头猪屠宰深加工扩建及万吨国家肉类储备库项目、永济市超人奶业奶牛智能健康养殖项目、长荣农科新建2400头原种猪核心育种场建设项目、联农猪业80万头生猪养殖基地建设项目、大象集团畜禽养殖、屠宰级饲料加工项目、黄河生态产业种羊养殖项目、数字化水产品养殖产业示范区、永济市山西志宇肉牛养殖有限公司2021年设施畜牧业建设项目、1200亩大棚水产养殖基地、茂隆公司农业项目、雨润集团养猪场项目等。</w:t>
            </w:r>
          </w:p>
          <w:p>
            <w:pPr>
              <w:widowControl w:val="0"/>
              <w:wordWrap/>
              <w:adjustRightInd w:val="0"/>
              <w:snapToGrid w:val="0"/>
              <w:spacing w:afterLines="50" w:line="400" w:lineRule="exact"/>
              <w:ind w:left="0" w:leftChars="0" w:right="0" w:firstLine="422" w:firstLineChars="200"/>
              <w:jc w:val="both"/>
              <w:textAlignment w:val="auto"/>
              <w:outlineLvl w:val="9"/>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农业基础设施：</w:t>
            </w:r>
            <w:r>
              <w:rPr>
                <w:rFonts w:hint="eastAsia" w:ascii="方正小标宋简体" w:hAnsi="方正小标宋简体" w:eastAsia="方正小标宋简体" w:cs="方正小标宋简体"/>
                <w:szCs w:val="21"/>
              </w:rPr>
              <w:t>省级农业产业园建设项目、国家级冷链物流仓储基地、农网升级改造项目、蒲州镇农贸市场建设项目、洗马村果蔬批发市场及果蔬产业园建设项目、永旺集市智慧农贸市场建设项目、永济市韩阳镇全域土地综合整治项目、韩阳等3镇高标准农田建设项目、开张等两镇高标准农田建设项目、虞乡等3镇高标准农田建设项目、栲栳等3镇高标准农田建设项目、蒲州等4镇高标准农田建设项目、卿头镇曾家营等5村高标准农田建设项目、脱水蔬菜产业园项目、田埂谣农科教育园项目、永济市河东葫芦园农文旅融合研学提档升级配套建设项目、国家级现代农业产业示范园等。</w:t>
            </w:r>
          </w:p>
        </w:tc>
      </w:tr>
    </w:tbl>
    <w:p>
      <w:pPr>
        <w:spacing w:beforeLines="50" w:afterLines="50"/>
        <w:jc w:val="center"/>
        <w:outlineLvl w:val="1"/>
        <w:rPr>
          <w:rFonts w:ascii="Times New Roman" w:hAnsi="Times New Roman" w:eastAsia="楷体_GB2312" w:cs="Times New Roman"/>
          <w:kern w:val="0"/>
          <w:sz w:val="32"/>
          <w:szCs w:val="32"/>
          <w:lang w:bidi="en-US"/>
        </w:rPr>
      </w:pPr>
      <w:bookmarkStart w:id="66" w:name="_Toc68253245"/>
      <w:r>
        <w:rPr>
          <w:rFonts w:ascii="Times New Roman" w:hAnsi="Times New Roman" w:eastAsia="楷体_GB2312" w:cs="Times New Roman"/>
          <w:kern w:val="0"/>
          <w:sz w:val="32"/>
          <w:szCs w:val="32"/>
          <w:lang w:bidi="en-US"/>
        </w:rPr>
        <w:t>第四节  深入实施乡村建设行动</w:t>
      </w:r>
      <w:bookmarkEnd w:id="66"/>
    </w:p>
    <w:p>
      <w:pPr>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以推进农村人居环境整治提升五年行动为抓手，以打造沿黄美丽乡村示范带为引领，围绕“三型四美”标准，</w:t>
      </w:r>
      <w:r>
        <w:rPr>
          <w:rStyle w:val="29"/>
          <w:rFonts w:ascii="Times New Roman" w:hAnsi="Times New Roman" w:eastAsia="仿宋_GB2312" w:cs="Times New Roman"/>
          <w:color w:val="000000"/>
          <w:sz w:val="32"/>
          <w:szCs w:val="32"/>
        </w:rPr>
        <w:t>持续实施农村人居环境整治行动，全面提升农村人居环境质量，</w:t>
      </w:r>
      <w:r>
        <w:rPr>
          <w:rFonts w:ascii="Times New Roman" w:hAnsi="Times New Roman" w:eastAsia="仿宋_GB2312" w:cs="Times New Roman"/>
          <w:sz w:val="32"/>
          <w:szCs w:val="32"/>
        </w:rPr>
        <w:t>持续建设产业兴旺、生态宜居、乡风文明、治理有效、生活富裕的美好家园。</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加快补齐农村环境治理短板</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以生态宜居为目标，以农村垃圾、污水治理和村容村貌提升为重点，坚持“清、拆、改、种、建”五治并举，持续深化农村人居环境整治。实施农村生活垃圾农户分类、回收利用、设施提升、制度建设、长效管理五大行动，梯次推进农村污水治理，推动镇、村污水管网向更多村庄延伸覆盖，因地制宜制定农村改厕实施方案，合理选择改厕模式，加快推进户用卫生厕所建设和改造，同步实施厕所粪污治理。到2025年，所有建制镇实现生活污水集中处理，50%以上行政村实现生活污水集中处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95%以上的行政村实现农村生活垃圾分类及无害化处理。</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打造一批“三型”美丽乡村。</w:t>
      </w:r>
      <w:r>
        <w:rPr>
          <w:rFonts w:ascii="Times New Roman" w:hAnsi="Times New Roman" w:eastAsia="仿宋_GB2312" w:cs="Times New Roman"/>
          <w:sz w:val="32"/>
          <w:szCs w:val="32"/>
        </w:rPr>
        <w:t>围绕美丽乡村发展布局，加快编制“多规合一”的村庄规划，综合考虑土地利用、产业发展、生态保护和历史文化传承等因素，科学布局生产生活生态空间。</w:t>
      </w:r>
      <w:r>
        <w:rPr>
          <w:rFonts w:hint="eastAsia" w:ascii="Times New Roman" w:hAnsi="Times New Roman" w:eastAsia="仿宋_GB2312" w:cs="Times New Roman"/>
          <w:sz w:val="32"/>
          <w:szCs w:val="32"/>
        </w:rPr>
        <w:t>围绕“城郊集约型、休闲旅游型、高效农业型”三种类型，按照“科学规划布局美、产业兴旺生活美、村容整洁环境美、乡风文明身心美”四美标准，</w:t>
      </w:r>
      <w:r>
        <w:rPr>
          <w:rFonts w:ascii="Times New Roman" w:hAnsi="Times New Roman" w:eastAsia="仿宋_GB2312" w:cs="Times New Roman"/>
          <w:sz w:val="32"/>
          <w:szCs w:val="32"/>
        </w:rPr>
        <w:t>高标准打造美丽乡村建设示范循环圈，整体提升全市美丽乡村建设的质量和水平。</w:t>
      </w:r>
      <w:r>
        <w:rPr>
          <w:rFonts w:hint="eastAsia" w:ascii="Times New Roman" w:hAnsi="Times New Roman" w:eastAsia="仿宋_GB2312" w:cs="Times New Roman"/>
          <w:sz w:val="32"/>
          <w:szCs w:val="32"/>
        </w:rPr>
        <w:t>到2025年，全市形成“三型四美”美丽乡村发展格局，50%以上的村实现生活污水集中处理，95%以上的村实现农村生活垃圾分类及无害化处理。</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提升农村公共服务设施水平。</w:t>
      </w:r>
      <w:r>
        <w:rPr>
          <w:rFonts w:ascii="Times New Roman" w:hAnsi="Times New Roman" w:eastAsia="仿宋_GB2312" w:cs="Times New Roman"/>
          <w:sz w:val="32"/>
          <w:szCs w:val="32"/>
        </w:rPr>
        <w:t>完善农村水、</w:t>
      </w:r>
      <w:r>
        <w:rPr>
          <w:rFonts w:hint="eastAsia" w:ascii="Times New Roman" w:hAnsi="Times New Roman" w:eastAsia="仿宋_GB2312" w:cs="Times New Roman"/>
          <w:sz w:val="32"/>
          <w:szCs w:val="32"/>
        </w:rPr>
        <w:t>电、</w:t>
      </w:r>
      <w:r>
        <w:rPr>
          <w:rFonts w:ascii="Times New Roman" w:hAnsi="Times New Roman" w:eastAsia="仿宋_GB2312" w:cs="Times New Roman"/>
          <w:sz w:val="32"/>
          <w:szCs w:val="32"/>
        </w:rPr>
        <w:t>路、气</w:t>
      </w:r>
      <w:r>
        <w:rPr>
          <w:rFonts w:hint="eastAsia" w:ascii="Times New Roman" w:hAnsi="Times New Roman" w:eastAsia="仿宋_GB2312" w:cs="Times New Roman"/>
          <w:sz w:val="32"/>
          <w:szCs w:val="32"/>
        </w:rPr>
        <w:t>、综合管廊</w:t>
      </w:r>
      <w:r>
        <w:rPr>
          <w:rFonts w:ascii="Times New Roman" w:hAnsi="Times New Roman" w:eastAsia="仿宋_GB2312" w:cs="Times New Roman"/>
          <w:sz w:val="32"/>
          <w:szCs w:val="32"/>
        </w:rPr>
        <w:t>等基础设施建设，</w:t>
      </w:r>
      <w:r>
        <w:rPr>
          <w:rFonts w:hint="eastAsia" w:ascii="Times New Roman" w:hAnsi="Times New Roman" w:eastAsia="仿宋_GB2312" w:cs="Times New Roman"/>
          <w:sz w:val="32"/>
          <w:szCs w:val="32"/>
        </w:rPr>
        <w:t>统筹强电、弱电、水等管廊建设，</w:t>
      </w:r>
      <w:r>
        <w:rPr>
          <w:rFonts w:ascii="Times New Roman" w:hAnsi="Times New Roman" w:eastAsia="仿宋_GB2312" w:cs="Times New Roman"/>
          <w:sz w:val="32"/>
          <w:szCs w:val="32"/>
        </w:rPr>
        <w:t>实施沿黄一号旅游公路五大系统建设、王开线公路改造、大中型水库移民扶持等一批重点基础设施建设项目，不断改善农村生产生活条件和公共服务设施。继续实施农村电网改造工程，重点增加10千伏线路供电能力和户均配变容量，</w:t>
      </w:r>
      <w:r>
        <w:rPr>
          <w:rFonts w:hint="eastAsia" w:ascii="Times New Roman" w:hAnsi="Times New Roman" w:eastAsia="仿宋_GB2312" w:cs="Times New Roman"/>
          <w:sz w:val="32"/>
          <w:szCs w:val="32"/>
        </w:rPr>
        <w:t>逐步提高农村电网互联率，不断提高供电可靠性。</w:t>
      </w:r>
      <w:r>
        <w:rPr>
          <w:rFonts w:ascii="Times New Roman" w:hAnsi="Times New Roman" w:eastAsia="仿宋_GB2312" w:cs="Times New Roman"/>
          <w:sz w:val="32"/>
          <w:szCs w:val="32"/>
        </w:rPr>
        <w:t>加快农村网络基础设施建设，推进光纤到村入户，不断提升网络服务能力。科学统筹无线、有线、卫星等接入方式，推进数字广播电视入户接收，实现数字广播电视户户通。加快批发市场、集贸市场、农村服务点物流网络节点建设。</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建立健全乡村治理体系。</w:t>
      </w:r>
      <w:r>
        <w:rPr>
          <w:rFonts w:ascii="Times New Roman" w:hAnsi="Times New Roman" w:eastAsia="仿宋_GB2312" w:cs="Times New Roman"/>
          <w:sz w:val="32"/>
          <w:szCs w:val="32"/>
        </w:rPr>
        <w:t>有序推进农村社区建设，完善农村社区管理机制。规范村级组织工作事务，增强村民自治组织能力，丰富议事协商形式。全面落实村支“两委”联席会议、党员和村民代表联席会议票决制，推行村级事务阳光工程，推动乡村治理重心下移，初步形成教化与引导、激励与约束、自律与他律相结合的管理体系。推进农村社区综合服务设施建设，为农民提供“一门式办理”、“一站式服务”。推进自治、法治、德治“三治融合”，扎实开展道德模范、五好家庭、星级文明户等创建活动。健全完善村级治理监督约束机制，强化监督委员会建设，推进村级民主监督管理。</w:t>
      </w:r>
    </w:p>
    <w:p>
      <w:pPr>
        <w:spacing w:beforeLines="50" w:afterLines="50"/>
        <w:jc w:val="center"/>
        <w:outlineLvl w:val="1"/>
        <w:rPr>
          <w:rFonts w:ascii="Times New Roman" w:hAnsi="Times New Roman" w:eastAsia="楷体_GB2312" w:cs="Times New Roman"/>
          <w:kern w:val="0"/>
          <w:sz w:val="32"/>
          <w:szCs w:val="32"/>
          <w:lang w:bidi="en-US"/>
        </w:rPr>
      </w:pPr>
      <w:bookmarkStart w:id="67" w:name="_Toc68253246"/>
      <w:r>
        <w:rPr>
          <w:rFonts w:ascii="Times New Roman" w:hAnsi="Times New Roman" w:eastAsia="楷体_GB2312" w:cs="Times New Roman"/>
          <w:kern w:val="0"/>
          <w:sz w:val="32"/>
          <w:szCs w:val="32"/>
          <w:lang w:bidi="en-US"/>
        </w:rPr>
        <w:t>第五节  全面深化农业农村改革</w:t>
      </w:r>
      <w:bookmarkEnd w:id="67"/>
    </w:p>
    <w:p>
      <w:pPr>
        <w:ind w:firstLine="640" w:firstLineChars="200"/>
        <w:jc w:val="both"/>
        <w:rPr>
          <w:rStyle w:val="29"/>
          <w:rFonts w:ascii="Times New Roman" w:hAnsi="Times New Roman" w:eastAsia="仿宋_GB2312" w:cs="Times New Roman"/>
          <w:sz w:val="32"/>
          <w:szCs w:val="32"/>
        </w:rPr>
      </w:pPr>
      <w:r>
        <w:rPr>
          <w:rStyle w:val="29"/>
          <w:rFonts w:ascii="Times New Roman" w:hAnsi="Times New Roman" w:eastAsia="仿宋_GB2312" w:cs="Times New Roman"/>
          <w:sz w:val="32"/>
          <w:szCs w:val="32"/>
        </w:rPr>
        <w:t>持续深入推进农村改革，巩固扩大集体产权制度改革成果，重点推进“三块地改革”，健全完善农村产权交易体系，通过改革释放红利，为乡村全面振兴破解体制机制瓶颈。</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深化农村基本经营制度改革。</w:t>
      </w:r>
      <w:r>
        <w:rPr>
          <w:rFonts w:ascii="Times New Roman" w:hAnsi="Times New Roman" w:eastAsia="仿宋_GB2312" w:cs="Times New Roman"/>
          <w:sz w:val="32"/>
          <w:szCs w:val="32"/>
        </w:rPr>
        <w:t>开展农民专业合作社质量提升推进试点，清理整顿空壳社，完善内部运行机制，推进四级示范社创建活动，每年培育10个示范社，以扩大规模、提升质量、规范管理为重点，2025年规范率达到100%。完善家庭农场登记和名录管理，加强示范农场建设，每年培育示范农场5家，不断提升家庭农场经营管理水平。培育一批规模适度、生产集聚、管理先进、效益明显的家庭农场，2025年达到500个。</w:t>
      </w:r>
      <w:r>
        <w:rPr>
          <w:rFonts w:ascii="Times New Roman" w:hAnsi="Times New Roman" w:eastAsia="仿宋_GB2312" w:cs="Times New Roman"/>
          <w:kern w:val="0"/>
          <w:sz w:val="32"/>
          <w:szCs w:val="32"/>
        </w:rPr>
        <w:t>探索发展农业产业化联合体，以龙头企业为引领、农民合作社为纽带、家庭农场为基础，通过“公司+合作社+家庭农场”等组织模式，以分工协作为前提、以规模经营为依托、以利益联结为纽带，实现一体化农业经营。</w:t>
      </w:r>
      <w:r>
        <w:rPr>
          <w:rFonts w:ascii="Times New Roman" w:hAnsi="Times New Roman" w:eastAsia="仿宋_GB2312" w:cs="Times New Roman"/>
          <w:sz w:val="32"/>
          <w:szCs w:val="32"/>
        </w:rPr>
        <w:t>借鉴农业生产托管试点经验，进一步完善托管程序，扩大</w:t>
      </w:r>
      <w:r>
        <w:rPr>
          <w:rFonts w:hint="eastAsia" w:ascii="Times New Roman" w:hAnsi="Times New Roman" w:eastAsia="仿宋_GB2312" w:cs="Times New Roman"/>
          <w:sz w:val="32"/>
          <w:szCs w:val="32"/>
        </w:rPr>
        <w:t>小麦、玉米等大宗农产品</w:t>
      </w:r>
      <w:r>
        <w:rPr>
          <w:rFonts w:ascii="Times New Roman" w:hAnsi="Times New Roman" w:eastAsia="仿宋_GB2312" w:cs="Times New Roman"/>
          <w:sz w:val="32"/>
          <w:szCs w:val="32"/>
        </w:rPr>
        <w:t>托管规模和范围，针对性开展托管试点，</w:t>
      </w:r>
      <w:r>
        <w:rPr>
          <w:rFonts w:hint="eastAsia" w:ascii="Times New Roman" w:hAnsi="Times New Roman" w:eastAsia="仿宋_GB2312" w:cs="Times New Roman"/>
          <w:sz w:val="32"/>
          <w:szCs w:val="32"/>
        </w:rPr>
        <w:t>提高小农户进入市场的组织化程度，推进托管服务带动规模经营，促进小农户与现代农业发展有机衔接。</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深化农村集体产权制度改革。</w:t>
      </w:r>
      <w:r>
        <w:rPr>
          <w:rFonts w:ascii="Times New Roman" w:hAnsi="Times New Roman" w:eastAsia="仿宋_GB2312" w:cs="Times New Roman"/>
          <w:sz w:val="32"/>
          <w:szCs w:val="32"/>
        </w:rPr>
        <w:t>引导发展多种形式集体经济、合作经济，加快推进经营性资产股份合作制改革，探索研究股权抵押、担保、继承和有偿退出等机制，促进股权流转，激活股权权能。完善市镇两级农村产权流转交易市场，健全规范的市场管理制度和交易规则，建立归属清晰、权责明确、保护严格、流转顺畅的现代农村产权制度。培育壮大村级集体经济，形成稳定的集体经济收入来源，力争到2025年，年收入20万元以上的村达到60%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深化农村土地制度改革。</w:t>
      </w:r>
      <w:r>
        <w:rPr>
          <w:rFonts w:hint="eastAsia" w:ascii="Times New Roman" w:hAnsi="Times New Roman" w:eastAsia="仿宋_GB2312" w:cs="Times New Roman"/>
          <w:sz w:val="32"/>
          <w:szCs w:val="32"/>
        </w:rPr>
        <w:t>加强改革系统集成，系统开展农村全域土地综合整治、城乡建设用地增减挂钩节余指标有偿使用、集体经营性建设用地入市、盘活闲置宅基地等全链条改革。</w:t>
      </w:r>
      <w:r>
        <w:rPr>
          <w:rFonts w:ascii="Times New Roman" w:hAnsi="Times New Roman" w:eastAsia="仿宋_GB2312" w:cs="Times New Roman"/>
          <w:sz w:val="32"/>
          <w:szCs w:val="32"/>
        </w:rPr>
        <w:t>严格落实二轮土地承包到期后再延长的配套政策和农村承包地“三权分置”制度，加强农村土地承包信息管理系统平台建设，推进土地承包管理信息化、系统化、规范化。建立健全土地承包权依法自愿有偿流转机制，加强土地流转管理，确保农村土地依法有序流转。加强农村宅基地改革与管理，建立健全宅基地分配、使用、流转、违法用地查处等管理制度，鼓励村集体和农民盘活利用闲置宅基地和闲置住宅，不断增加农民财产性收入。</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深化农技农经农机“三支队伍”改革。</w:t>
      </w:r>
      <w:r>
        <w:rPr>
          <w:rFonts w:hint="eastAsia" w:ascii="Times New Roman" w:hAnsi="Times New Roman" w:eastAsia="仿宋_GB2312" w:cs="Times New Roman"/>
          <w:sz w:val="32"/>
          <w:szCs w:val="32"/>
          <w:lang w:eastAsia="zh-CN"/>
        </w:rPr>
        <w:t>健全</w:t>
      </w:r>
      <w:r>
        <w:rPr>
          <w:rFonts w:ascii="Times New Roman" w:hAnsi="Times New Roman" w:eastAsia="仿宋_GB2312" w:cs="Times New Roman"/>
          <w:sz w:val="32"/>
          <w:szCs w:val="32"/>
        </w:rPr>
        <w:t>市场决定农技、农经、农机服务资源配置的体制机制，加快培育参与市场竞争的服务供给主体。鼓励各类社会力量广泛参与基层农技、农经、农机服务，建立开放竞争、多元互补、服务高效的农技推广、农机服务和农村经营管理体系。深化农业系列职称制度改革，全面开展农技推广人员、农经管理人员、农机推广人员在岗开展增值服务，允许合理取酬。构建三支队伍增值服务机制，加强人员培训，提升整体素质和服务效能。加强农技推广人才队伍建设，探索公益性和经营性农技推广融合发展机制，全面实施农技推广服务特聘计划。</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健全农业社会化服务体系。</w:t>
      </w:r>
      <w:r>
        <w:rPr>
          <w:rFonts w:ascii="Times New Roman" w:hAnsi="Times New Roman" w:eastAsia="仿宋_GB2312" w:cs="Times New Roman"/>
          <w:sz w:val="32"/>
          <w:szCs w:val="32"/>
        </w:rPr>
        <w:t>推进生产、供销、信用“三位一体”综合改革，加快形成以基层社区、惠农服务中心、信息资源平台为主体的生产服务模式，形成以普惠金融、资金互助、融资担保为主要形式的农业金融支持模式。深化供销合作社综合改革，发挥供销合作社独特作用，围绕特色大宗产品，整合有效资源，优化市场布局，建立以供应链为核心的分销式、电商化的商流、物流、品牌“三位一体”的业态模式。推动建设永济农业生产性服务示范中心、农业生产托管服务站等，为小农户和新型农业经营主体提供耕、种、防、收等各环节“菜单式”托管服务。培育多种形式的农业经营性服务组织，到2025年，全市农业社会化服务组织达到30家以上。</w:t>
      </w:r>
    </w:p>
    <w:p>
      <w:pPr>
        <w:spacing w:beforeLines="50" w:afterLines="50"/>
        <w:jc w:val="center"/>
        <w:outlineLvl w:val="1"/>
        <w:rPr>
          <w:rFonts w:ascii="Times New Roman" w:hAnsi="Times New Roman" w:eastAsia="楷体_GB2312" w:cs="Times New Roman"/>
          <w:kern w:val="0"/>
          <w:sz w:val="32"/>
          <w:szCs w:val="32"/>
          <w:lang w:bidi="en-US"/>
        </w:rPr>
      </w:pPr>
      <w:bookmarkStart w:id="68" w:name="_Toc68253247"/>
      <w:r>
        <w:rPr>
          <w:rFonts w:ascii="Times New Roman" w:hAnsi="Times New Roman" w:eastAsia="楷体_GB2312" w:cs="Times New Roman"/>
          <w:kern w:val="0"/>
          <w:sz w:val="32"/>
          <w:szCs w:val="32"/>
          <w:lang w:bidi="en-US"/>
        </w:rPr>
        <w:t>第六节</w:t>
      </w:r>
      <w:r>
        <w:rPr>
          <w:rFonts w:hint="eastAsia" w:ascii="Times New Roman" w:hAnsi="Times New Roman" w:eastAsia="楷体_GB2312" w:cs="Times New Roman"/>
          <w:kern w:val="0"/>
          <w:sz w:val="32"/>
          <w:szCs w:val="32"/>
          <w:lang w:bidi="en-US"/>
        </w:rPr>
        <w:t xml:space="preserve">  持续</w:t>
      </w:r>
      <w:r>
        <w:rPr>
          <w:rFonts w:ascii="Times New Roman" w:hAnsi="Times New Roman" w:eastAsia="楷体_GB2312" w:cs="Times New Roman"/>
          <w:kern w:val="0"/>
          <w:sz w:val="32"/>
          <w:szCs w:val="32"/>
          <w:lang w:bidi="en-US"/>
        </w:rPr>
        <w:t>巩固脱贫攻坚成果</w:t>
      </w:r>
      <w:bookmarkEnd w:id="68"/>
    </w:p>
    <w:p>
      <w:pPr>
        <w:ind w:firstLine="640" w:firstLineChars="200"/>
        <w:jc w:val="both"/>
        <w:rPr>
          <w:rStyle w:val="29"/>
          <w:rFonts w:ascii="Times New Roman" w:hAnsi="Times New Roman" w:eastAsia="仿宋_GB2312" w:cs="Times New Roman"/>
          <w:sz w:val="32"/>
          <w:szCs w:val="32"/>
        </w:rPr>
      </w:pPr>
      <w:r>
        <w:rPr>
          <w:rStyle w:val="29"/>
          <w:rFonts w:ascii="Times New Roman" w:hAnsi="Times New Roman" w:eastAsia="仿宋_GB2312" w:cs="Times New Roman"/>
          <w:sz w:val="32"/>
          <w:szCs w:val="32"/>
        </w:rPr>
        <w:t>全面巩固提高脱贫攻坚质量，保持脱贫攻坚政策总体稳定，逐步实现由集中资源支持脱贫攻坚向全面推进乡村振兴平稳转型、有序过渡，实践脱贫攻坚、全面小康、乡村振兴的有机贯通。</w:t>
      </w:r>
    </w:p>
    <w:p>
      <w:pPr>
        <w:spacing w:line="600" w:lineRule="exact"/>
        <w:ind w:firstLine="643" w:firstLineChars="200"/>
        <w:jc w:val="both"/>
        <w:rPr>
          <w:rFonts w:ascii="Times New Roman" w:hAnsi="Times New Roman" w:eastAsia="仿宋_GB2312" w:cs="Times New Roman"/>
          <w:kern w:val="0"/>
          <w:sz w:val="32"/>
          <w:szCs w:val="32"/>
          <w:lang w:bidi="en-US"/>
        </w:rPr>
      </w:pPr>
      <w:r>
        <w:rPr>
          <w:rStyle w:val="29"/>
          <w:rFonts w:ascii="Times New Roman" w:hAnsi="Times New Roman" w:eastAsia="仿宋_GB2312" w:cs="Times New Roman"/>
          <w:b/>
          <w:bCs/>
          <w:sz w:val="32"/>
          <w:szCs w:val="32"/>
        </w:rPr>
        <w:t>构建稳定脱贫长效机制。</w:t>
      </w:r>
      <w:r>
        <w:rPr>
          <w:rFonts w:ascii="Times New Roman" w:hAnsi="Times New Roman" w:eastAsia="仿宋_GB2312" w:cs="Times New Roman"/>
          <w:kern w:val="0"/>
          <w:sz w:val="32"/>
          <w:szCs w:val="32"/>
          <w:lang w:bidi="en-US"/>
        </w:rPr>
        <w:t>按照过渡期政策要求，推进全面脱贫与乡村振兴有效衔接，确保工作不留空档，政策不留空白。加快健全防止返贫监测和帮扶机制，严格落实“四个不摘”要求，确保稳定脱贫不返贫。建立防返贫风险预警机制，强化对脱贫监测户、边缘户等重点群体的返贫监测预警和动态帮扶，将返贫人口和新发生贫困人口及时纳入帮扶，为巩固脱贫成果提供制度保障，夯实全面小康社会基石。</w:t>
      </w:r>
    </w:p>
    <w:p>
      <w:pPr>
        <w:spacing w:line="600" w:lineRule="exact"/>
        <w:ind w:firstLine="643" w:firstLineChars="200"/>
        <w:jc w:val="both"/>
        <w:rPr>
          <w:rFonts w:ascii="Times New Roman" w:hAnsi="Times New Roman" w:eastAsia="仿宋_GB2312" w:cs="Times New Roman"/>
          <w:kern w:val="0"/>
          <w:sz w:val="32"/>
          <w:szCs w:val="32"/>
          <w:lang w:bidi="en-US"/>
        </w:rPr>
      </w:pPr>
      <w:r>
        <w:rPr>
          <w:rStyle w:val="29"/>
          <w:rFonts w:ascii="Times New Roman" w:hAnsi="Times New Roman" w:eastAsia="仿宋_GB2312" w:cs="Times New Roman"/>
          <w:b/>
          <w:bCs/>
          <w:sz w:val="32"/>
          <w:szCs w:val="32"/>
        </w:rPr>
        <w:t>建立农村低收入人口帮扶机制。</w:t>
      </w:r>
      <w:r>
        <w:rPr>
          <w:rStyle w:val="29"/>
          <w:rFonts w:ascii="Times New Roman" w:hAnsi="Times New Roman" w:eastAsia="仿宋_GB2312" w:cs="Times New Roman"/>
          <w:sz w:val="32"/>
          <w:szCs w:val="32"/>
        </w:rPr>
        <w:t>以现有社会救助和社会保障体系为基础，健全农村低收入人口分类帮扶机制。</w:t>
      </w:r>
      <w:r>
        <w:rPr>
          <w:rFonts w:ascii="Times New Roman" w:hAnsi="Times New Roman" w:eastAsia="仿宋_GB2312" w:cs="Times New Roman"/>
          <w:kern w:val="0"/>
          <w:sz w:val="32"/>
          <w:szCs w:val="32"/>
          <w:lang w:bidi="en-US"/>
        </w:rPr>
        <w:t>持续抓好扶贫产业发展，实施一批产业提升、基地建设、品牌发展、电商培育等扶贫项目。</w:t>
      </w:r>
      <w:r>
        <w:rPr>
          <w:rStyle w:val="29"/>
          <w:rFonts w:ascii="Times New Roman" w:hAnsi="Times New Roman" w:eastAsia="仿宋_GB2312" w:cs="Times New Roman"/>
          <w:sz w:val="32"/>
          <w:szCs w:val="32"/>
        </w:rPr>
        <w:t>调整优化公益性岗位设置，加强对低收入人口的跟进帮扶和无劳动能力的兜底保障。稳定兜底救助政策，落实好教育、医疗、住房、饮水等民生保障普惠性政策。鼓励创新帮扶手段，</w:t>
      </w:r>
      <w:r>
        <w:rPr>
          <w:rFonts w:ascii="Times New Roman" w:hAnsi="Times New Roman" w:eastAsia="仿宋_GB2312" w:cs="Times New Roman"/>
          <w:kern w:val="0"/>
          <w:sz w:val="32"/>
          <w:szCs w:val="32"/>
          <w:lang w:bidi="en-US"/>
        </w:rPr>
        <w:t>完善社会力量参与帮扶等机制，鼓励支持各类企业、社会组织、个人广泛参与帮扶。</w:t>
      </w:r>
    </w:p>
    <w:p>
      <w:pPr>
        <w:spacing w:line="600" w:lineRule="exact"/>
        <w:ind w:firstLine="643" w:firstLineChars="200"/>
        <w:jc w:val="both"/>
        <w:rPr>
          <w:rStyle w:val="29"/>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持续推动农民增收致富。</w:t>
      </w:r>
      <w:r>
        <w:rPr>
          <w:rFonts w:ascii="Times New Roman" w:hAnsi="Times New Roman" w:eastAsia="仿宋_GB2312" w:cs="Times New Roman"/>
          <w:color w:val="000000"/>
          <w:sz w:val="32"/>
          <w:szCs w:val="32"/>
        </w:rPr>
        <w:t>精准开展农村贫困劳动力技能培训，打造永济特色劳务品牌，稳岗拓岗，提高就业层次和工资性收入。支持鼓励高校毕业生、机关事业单位干部等各类人才支农兴农，</w:t>
      </w:r>
      <w:r>
        <w:rPr>
          <w:rFonts w:ascii="Times New Roman" w:hAnsi="Times New Roman" w:eastAsia="仿宋_GB2312" w:cs="Times New Roman"/>
          <w:sz w:val="32"/>
          <w:szCs w:val="32"/>
        </w:rPr>
        <w:t>配强致富带头人，带动脱贫户致富和稳定发展。开发就地就近就业岗位，培育适合普通农村劳动力就业的特色产业。采取以奖代补、劳务补助等方式，吸纳相对贫困劳动力参与项目建设和社会服务，</w:t>
      </w:r>
      <w:r>
        <w:rPr>
          <w:rStyle w:val="29"/>
          <w:rFonts w:ascii="Times New Roman" w:hAnsi="Times New Roman" w:eastAsia="仿宋_GB2312" w:cs="Times New Roman"/>
          <w:sz w:val="32"/>
          <w:szCs w:val="32"/>
        </w:rPr>
        <w:t>完善脱贫人口工资性收入保障机制。</w:t>
      </w:r>
    </w:p>
    <w:p>
      <w:pPr>
        <w:spacing w:beforeLines="100" w:afterLines="100"/>
        <w:jc w:val="both"/>
        <w:outlineLvl w:val="0"/>
        <w:rPr>
          <w:rFonts w:ascii="Times New Roman" w:hAnsi="Times New Roman" w:eastAsia="黑体" w:cs="Times New Roman"/>
          <w:sz w:val="10"/>
          <w:szCs w:val="10"/>
        </w:rPr>
      </w:pPr>
      <w:bookmarkStart w:id="69" w:name="_Toc68253248"/>
      <w:r>
        <w:rPr>
          <w:rFonts w:ascii="Times New Roman" w:hAnsi="Times New Roman" w:eastAsia="黑体" w:cs="Times New Roman"/>
          <w:sz w:val="10"/>
          <w:szCs w:val="10"/>
        </w:rPr>
        <w:br w:type="page"/>
      </w:r>
    </w:p>
    <w:p>
      <w:pPr>
        <w:spacing w:beforeLines="100" w:afterLines="100"/>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 xml:space="preserve">章  </w:t>
      </w:r>
      <w:r>
        <w:rPr>
          <w:rFonts w:hint="eastAsia" w:ascii="Times New Roman" w:hAnsi="Times New Roman" w:eastAsia="黑体" w:cs="Times New Roman"/>
          <w:sz w:val="32"/>
          <w:szCs w:val="32"/>
        </w:rPr>
        <w:t>放大旅游资源优势</w:t>
      </w:r>
      <w:r>
        <w:rPr>
          <w:rFonts w:ascii="Times New Roman" w:hAnsi="Times New Roman" w:eastAsia="黑体" w:cs="Times New Roman"/>
          <w:sz w:val="32"/>
          <w:szCs w:val="32"/>
        </w:rPr>
        <w:t>，</w:t>
      </w:r>
      <w:r>
        <w:rPr>
          <w:rFonts w:hint="eastAsia" w:ascii="Times New Roman" w:hAnsi="Times New Roman" w:eastAsia="黑体" w:cs="Times New Roman"/>
          <w:sz w:val="32"/>
          <w:szCs w:val="32"/>
        </w:rPr>
        <w:t>加快建设国家级旅游度假区</w:t>
      </w:r>
      <w:bookmarkEnd w:id="69"/>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发挥我市文化底蕴深厚、旅游资源丰富的优势，以成功创建国家全域旅游示范区为契机，围绕“1332”发展布局，着力抓好国家5A级景区创建，打破常规思维、创新体制机制、增加文旅业态、丰富旅游内容，创建一流的旅游产品、一流的旅游环境、一流的旅游服务，推进文旅、文创、文艺融合，通过夯基础、补短板、重创新，把永济建成</w:t>
      </w:r>
      <w:r>
        <w:rPr>
          <w:rFonts w:hint="eastAsia" w:ascii="Times New Roman" w:hAnsi="Times New Roman" w:eastAsia="仿宋_GB2312" w:cs="Times New Roman"/>
          <w:kern w:val="0"/>
          <w:sz w:val="32"/>
          <w:szCs w:val="32"/>
        </w:rPr>
        <w:t>国家级旅游度假区</w:t>
      </w:r>
      <w:r>
        <w:rPr>
          <w:rFonts w:ascii="Times New Roman" w:hAnsi="Times New Roman" w:eastAsia="仿宋_GB2312" w:cs="Times New Roman"/>
          <w:kern w:val="0"/>
          <w:sz w:val="32"/>
          <w:szCs w:val="32"/>
        </w:rPr>
        <w:t>，努力把文化旅游产业打造成为战略性支柱产业。</w:t>
      </w:r>
    </w:p>
    <w:p>
      <w:pPr>
        <w:spacing w:beforeLines="50" w:afterLines="50"/>
        <w:jc w:val="center"/>
        <w:outlineLvl w:val="1"/>
        <w:rPr>
          <w:rFonts w:ascii="Times New Roman" w:hAnsi="Times New Roman" w:eastAsia="楷体_GB2312" w:cs="Times New Roman"/>
          <w:kern w:val="0"/>
          <w:sz w:val="32"/>
          <w:szCs w:val="32"/>
          <w:lang w:bidi="en-US"/>
        </w:rPr>
      </w:pPr>
      <w:bookmarkStart w:id="70" w:name="_Toc68253249"/>
      <w:r>
        <w:rPr>
          <w:rFonts w:ascii="Times New Roman" w:hAnsi="Times New Roman" w:eastAsia="楷体_GB2312" w:cs="Times New Roman"/>
          <w:kern w:val="0"/>
          <w:sz w:val="32"/>
          <w:szCs w:val="32"/>
          <w:lang w:bidi="en-US"/>
        </w:rPr>
        <w:t>第一节  优化旅游发展格局</w:t>
      </w:r>
      <w:bookmarkEnd w:id="70"/>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以国家全域旅游示范区为引领，</w:t>
      </w:r>
      <w:r>
        <w:rPr>
          <w:rFonts w:hint="eastAsia" w:ascii="Times New Roman" w:hAnsi="Times New Roman" w:eastAsia="仿宋_GB2312" w:cs="Times New Roman"/>
          <w:kern w:val="0"/>
          <w:sz w:val="32"/>
          <w:szCs w:val="32"/>
        </w:rPr>
        <w:t>以创建国家级旅游度假区为目标，</w:t>
      </w:r>
      <w:r>
        <w:rPr>
          <w:rFonts w:ascii="Times New Roman" w:hAnsi="Times New Roman" w:eastAsia="仿宋_GB2312" w:cs="Times New Roman"/>
          <w:kern w:val="0"/>
          <w:sz w:val="32"/>
          <w:szCs w:val="32"/>
        </w:rPr>
        <w:t>以建设精品景区、精品线路、乡村旅游为重点，</w:t>
      </w:r>
      <w:r>
        <w:rPr>
          <w:rFonts w:hint="eastAsia" w:ascii="Times New Roman" w:hAnsi="Times New Roman" w:eastAsia="仿宋_GB2312" w:cs="Times New Roman"/>
          <w:kern w:val="0"/>
          <w:sz w:val="32"/>
          <w:szCs w:val="32"/>
        </w:rPr>
        <w:t>以创新体制机制为抓手，以增加文旅业态、丰富旅游内容为载体，</w:t>
      </w:r>
      <w:r>
        <w:rPr>
          <w:rFonts w:ascii="Times New Roman" w:hAnsi="Times New Roman" w:eastAsia="仿宋_GB2312" w:cs="Times New Roman"/>
          <w:kern w:val="0"/>
          <w:sz w:val="32"/>
          <w:szCs w:val="32"/>
        </w:rPr>
        <w:t>以文旅深度融合为</w:t>
      </w:r>
      <w:r>
        <w:rPr>
          <w:rFonts w:hint="eastAsia" w:ascii="Times New Roman" w:hAnsi="Times New Roman" w:eastAsia="仿宋_GB2312" w:cs="Times New Roman"/>
          <w:kern w:val="0"/>
          <w:sz w:val="32"/>
          <w:szCs w:val="32"/>
        </w:rPr>
        <w:t>带动</w:t>
      </w:r>
      <w:r>
        <w:rPr>
          <w:rFonts w:ascii="Times New Roman" w:hAnsi="Times New Roman" w:eastAsia="仿宋_GB2312" w:cs="Times New Roman"/>
          <w:kern w:val="0"/>
          <w:sz w:val="32"/>
          <w:szCs w:val="32"/>
        </w:rPr>
        <w:t>，着眼大文旅、挖掘大市场、开发大产业，全力构建“精品带动、多点支撑、产业融合、行业跟进”的全域旅游格局，着力完善“吃住行游购娱”全产业链条，</w:t>
      </w:r>
      <w:r>
        <w:rPr>
          <w:rFonts w:hint="eastAsia" w:ascii="Times New Roman" w:hAnsi="Times New Roman" w:eastAsia="仿宋_GB2312" w:cs="Times New Roman"/>
          <w:kern w:val="0"/>
          <w:sz w:val="32"/>
          <w:szCs w:val="32"/>
        </w:rPr>
        <w:t>促进我市旅游产业由观光型向休闲度假型</w:t>
      </w:r>
      <w:r>
        <w:rPr>
          <w:rFonts w:ascii="Times New Roman" w:hAnsi="Times New Roman" w:eastAsia="仿宋_GB2312" w:cs="Times New Roman"/>
          <w:kern w:val="0"/>
          <w:sz w:val="32"/>
          <w:szCs w:val="32"/>
        </w:rPr>
        <w:t>转变。</w:t>
      </w:r>
      <w:r>
        <w:rPr>
          <w:rFonts w:hint="eastAsia" w:ascii="仿宋_GB2312" w:hAnsi="仿宋_GB2312" w:eastAsia="仿宋_GB2312" w:cs="仿宋_GB2312"/>
          <w:sz w:val="32"/>
          <w:szCs w:val="32"/>
        </w:rPr>
        <w:t>力争到2025年，全市接待游客突破1000万人次，实现旅游综合收入200亿元以上。</w:t>
      </w:r>
    </w:p>
    <w:p>
      <w:pPr>
        <w:ind w:firstLine="643"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做优做强三大旅游板块。</w:t>
      </w:r>
      <w:r>
        <w:rPr>
          <w:rFonts w:hint="eastAsia" w:ascii="Times New Roman" w:hAnsi="Times New Roman" w:eastAsia="仿宋_GB2312" w:cs="Times New Roman"/>
          <w:kern w:val="0"/>
          <w:sz w:val="32"/>
          <w:szCs w:val="32"/>
        </w:rPr>
        <w:t>西部历史文化旅游板块以蒲州故城为核心，建设文旅小镇。对鹳雀楼进行重新布展，丰富文化体验；依托普救寺打造《梦境·西厢记》行浸式演艺，配套建设中都唐街，激活夜游经济、发展夜游产业，提升文化景区的特色和魅力。东部山水休闲旅游板块以五老峰为龙头，整合山岳峡谷、森林公园、乡村农业等资源，以自然观光、风情体验、极限运动、户外探险等为特色，建设动静相宜、四季皆游的旅游目的地。中部休闲康养旅游板块以伍姓湖为核心，依托湿地生态资源，将康养理念与自然风光有机结合，推进集观光、运动、康养、住宿于一体的休闲度假综合体。形成“精品带动、多点支撑、产业融合”的旅游发展新格局。</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开发旅游精品线路。</w:t>
      </w:r>
      <w:r>
        <w:rPr>
          <w:rFonts w:ascii="Times New Roman" w:hAnsi="Times New Roman" w:eastAsia="仿宋_GB2312" w:cs="Times New Roman"/>
          <w:kern w:val="0"/>
          <w:sz w:val="32"/>
          <w:szCs w:val="32"/>
        </w:rPr>
        <w:t>深度挖掘黄河文化、舜帝文化、爱情文化等，推出蒲州文化游、宜居城市游、养生山水游、美丽乡村游等一批</w:t>
      </w:r>
      <w:r>
        <w:rPr>
          <w:rFonts w:hint="eastAsia" w:ascii="Times New Roman" w:hAnsi="Times New Roman" w:eastAsia="仿宋_GB2312" w:cs="Times New Roman"/>
          <w:kern w:val="0"/>
          <w:sz w:val="32"/>
          <w:szCs w:val="32"/>
        </w:rPr>
        <w:t>一日游、二日游等</w:t>
      </w:r>
      <w:r>
        <w:rPr>
          <w:rFonts w:ascii="Times New Roman" w:hAnsi="Times New Roman" w:eastAsia="仿宋_GB2312" w:cs="Times New Roman"/>
          <w:kern w:val="0"/>
          <w:sz w:val="32"/>
          <w:szCs w:val="32"/>
        </w:rPr>
        <w:t>精品旅游线路。以打造黄河一号最美旅游公路、中条山健身步道、伍姓湖马拉松赛道为主线，串联沿线特色景区和美丽乡村，打造中条山“百里画廊风景带”。整合黄河沿线资源打造湿地公园、黄河农耕文化园、诗意花田等特色项目，升级旅游产品及服务品质，打造黄河生态休闲游憩带。依托虞临永第一支部、普乐头陈家联络站等打造省级党性教育基地，开发红色旅游。紧密串联市内城镇和景区景点，加强与晋陕豫黄河金三角周边区域景区合作，组建旅游合作联盟，构建跨区域精品旅游线路。</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大力发展乡村旅游。</w:t>
      </w:r>
      <w:r>
        <w:rPr>
          <w:rFonts w:ascii="Times New Roman" w:hAnsi="Times New Roman" w:eastAsia="仿宋_GB2312" w:cs="Times New Roman"/>
          <w:kern w:val="0"/>
          <w:sz w:val="32"/>
          <w:szCs w:val="32"/>
        </w:rPr>
        <w:t>按照“一镇（街道）一品、一村一景、一村一韵”的建设思路，全面开发生态休闲、农业观光、养生度假、文化体验等多种类型的乡村旅游产品，打造一批有历史记忆、地域特色、文化内涵的乡村旅游名镇名村。推动介峪口玫瑰庄园、中都渔村等田园综合体申报“黄河人家”，推进观光游向休闲游、体验游转变，增强旅游吸引力。推进乡村旅游示范村建设，抓好惠畅东开张美丽乡村研学基地项目，打造乡村旅游新样板。到2025年</w:t>
      </w:r>
      <w:r>
        <w:rPr>
          <w:rFonts w:hint="eastAsia" w:ascii="Times New Roman" w:hAnsi="Times New Roman" w:eastAsia="仿宋_GB2312" w:cs="Times New Roman"/>
          <w:kern w:val="0"/>
          <w:sz w:val="32"/>
          <w:szCs w:val="32"/>
        </w:rPr>
        <w:t>争创国家3A级旅游示范村3个、</w:t>
      </w:r>
      <w:r>
        <w:rPr>
          <w:rFonts w:ascii="Times New Roman" w:hAnsi="Times New Roman" w:eastAsia="仿宋_GB2312" w:cs="Times New Roman"/>
          <w:kern w:val="0"/>
          <w:sz w:val="32"/>
          <w:szCs w:val="32"/>
        </w:rPr>
        <w:t>省级旅游示范村</w:t>
      </w:r>
      <w:r>
        <w:rPr>
          <w:rFonts w:hint="eastAsia" w:ascii="Times New Roman" w:hAnsi="Times New Roman" w:eastAsia="仿宋_GB2312" w:cs="Times New Roman"/>
          <w:kern w:val="0"/>
          <w:sz w:val="32"/>
          <w:szCs w:val="32"/>
        </w:rPr>
        <w:t>10个</w:t>
      </w:r>
      <w:r>
        <w:rPr>
          <w:rFonts w:ascii="Times New Roman" w:hAnsi="Times New Roman" w:eastAsia="仿宋_GB2312" w:cs="Times New Roman"/>
          <w:kern w:val="0"/>
          <w:sz w:val="32"/>
          <w:szCs w:val="32"/>
        </w:rPr>
        <w:t>。</w:t>
      </w:r>
    </w:p>
    <w:p>
      <w:pPr>
        <w:spacing w:afterLines="50"/>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创新旅游+新模式。</w:t>
      </w:r>
      <w:r>
        <w:rPr>
          <w:rFonts w:ascii="Times New Roman" w:hAnsi="Times New Roman" w:eastAsia="仿宋_GB2312" w:cs="Times New Roman"/>
          <w:kern w:val="0"/>
          <w:sz w:val="32"/>
          <w:szCs w:val="32"/>
        </w:rPr>
        <w:t>以普救寺《梦境·西厢记》行浸式演艺项目建设为契机，激活夜游经济、发展夜游产业。挖掘和弘扬舜帝文化、大唐文化、黄河文化、诗歌文化、爱情文化等民俗文化，打造永济文化旅游知名品牌。利用伍姓湖、旅游绿道及中条山自然资源，积极开发野外探险、汽车越野、自行车赛、攀岩登高等特色鲜明的体育旅游产品，争取国内有影响力的体育赛事在永济举办。因地制宜推进旅游+工业、旅游+林业等新业态，开发中车集团电机厂、印染厂、酒厂等</w:t>
      </w:r>
      <w:r>
        <w:rPr>
          <w:rFonts w:hint="eastAsia" w:ascii="Times New Roman" w:hAnsi="Times New Roman" w:eastAsia="仿宋_GB2312" w:cs="Times New Roman"/>
          <w:kern w:val="0"/>
          <w:sz w:val="32"/>
          <w:szCs w:val="32"/>
        </w:rPr>
        <w:t>特色</w:t>
      </w:r>
      <w:r>
        <w:rPr>
          <w:rFonts w:ascii="Times New Roman" w:hAnsi="Times New Roman" w:eastAsia="仿宋_GB2312" w:cs="Times New Roman"/>
          <w:kern w:val="0"/>
          <w:sz w:val="32"/>
          <w:szCs w:val="32"/>
        </w:rPr>
        <w:t>工业体验</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研学</w:t>
      </w:r>
      <w:r>
        <w:rPr>
          <w:rFonts w:hint="eastAsia" w:ascii="Times New Roman" w:hAnsi="Times New Roman" w:eastAsia="仿宋_GB2312" w:cs="Times New Roman"/>
          <w:kern w:val="0"/>
          <w:sz w:val="32"/>
          <w:szCs w:val="32"/>
        </w:rPr>
        <w:t>旅游实践</w:t>
      </w:r>
      <w:r>
        <w:rPr>
          <w:rFonts w:ascii="Times New Roman" w:hAnsi="Times New Roman" w:eastAsia="仿宋_GB2312" w:cs="Times New Roman"/>
          <w:kern w:val="0"/>
          <w:sz w:val="32"/>
          <w:szCs w:val="32"/>
        </w:rPr>
        <w:t>项目</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大力开发基于森林生态的“生态养疗”、“天然氧吧”等文旅康养项目，推动涑水河伍姓湖段改造，打造最宜康养旅游带。实施东南亚文化风情园项目，打造集观光、住宿、购物、康养于一体的休闲度假综合体。探索“公司+农户”“专业合作社+农户”“村两委+公司+农户”等多种经营模式，盘活农村闲置房屋，建设一批设施完备、功能多样的休闲观光园区、乡村民宿、农耕体验、农事研学、康养基地等，打造特色客栈集聚区。鼓励各类市场主体参与我市民宿建设，重点围绕介峪口、水峪口、西厢等景区周边村，打造山西非标住宿示范区。</w:t>
      </w:r>
    </w:p>
    <w:tbl>
      <w:tblPr>
        <w:tblStyle w:val="1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364" w:type="dxa"/>
            <w:vAlign w:val="top"/>
          </w:tcPr>
          <w:p>
            <w:pPr>
              <w:jc w:val="both"/>
              <w:rPr>
                <w:rFonts w:ascii="Times New Roman" w:hAnsi="Times New Roman" w:eastAsia="仿宋_GB2312" w:cs="Times New Roman"/>
                <w:sz w:val="24"/>
                <w:szCs w:val="24"/>
              </w:rPr>
            </w:pPr>
            <w:r>
              <w:rPr>
                <w:rFonts w:hint="eastAsia" w:ascii="黑体" w:hAnsi="黑体" w:eastAsia="黑体" w:cs="黑体"/>
                <w:sz w:val="28"/>
                <w:szCs w:val="28"/>
              </w:rPr>
              <w:t>专栏</w:t>
            </w:r>
            <w:r>
              <w:rPr>
                <w:rFonts w:ascii="黑体" w:hAnsi="黑体" w:eastAsia="黑体" w:cs="黑体"/>
                <w:sz w:val="28"/>
                <w:szCs w:val="28"/>
              </w:rPr>
              <w:t>7</w:t>
            </w:r>
            <w:r>
              <w:rPr>
                <w:rFonts w:hint="eastAsia" w:ascii="黑体" w:hAnsi="黑体" w:eastAsia="黑体" w:cs="黑体"/>
                <w:sz w:val="28"/>
                <w:szCs w:val="28"/>
              </w:rPr>
              <w:t>：“十四五”文旅重点项目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vAlign w:val="top"/>
          </w:tcPr>
          <w:p>
            <w:pPr>
              <w:adjustRightInd w:val="0"/>
              <w:snapToGrid w:val="0"/>
              <w:spacing w:beforeLines="50"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永济华夏经典文化旅游区建设项目。</w:t>
            </w:r>
            <w:r>
              <w:rPr>
                <w:rFonts w:hint="eastAsia" w:ascii="方正小标宋简体" w:hAnsi="方正小标宋简体" w:eastAsia="方正小标宋简体" w:cs="方正小标宋简体"/>
                <w:szCs w:val="21"/>
              </w:rPr>
              <w:t>围绕鹳雀楼建设黄河湿地公园、黄河诗意花田、中华诗词会议中心、华夏文化特色小镇、鹳雀楼景区婚纱摄影旅拍基地建设等项目；建设蒲津渡</w:t>
            </w:r>
            <w:r>
              <w:rPr>
                <w:rFonts w:hint="eastAsia" w:ascii="方正小标宋简体" w:hAnsi="黑体" w:eastAsia="方正小标宋简体" w:cs="方正小标宋简体"/>
                <w:szCs w:val="21"/>
              </w:rPr>
              <w:t>与</w:t>
            </w:r>
            <w:r>
              <w:rPr>
                <w:rFonts w:hint="eastAsia" w:ascii="方正小标宋简体" w:hAnsi="方正小标宋简体" w:eastAsia="方正小标宋简体" w:cs="方正小标宋简体"/>
                <w:szCs w:val="21"/>
              </w:rPr>
              <w:t>蒲州故城国家考古遗址公园、华夏文化博览园项目；围绕普救寺建设幸福梦工厂、西厢生活体验园、西厢三夜、小东沟爱情特色小镇等项目，建设中华爱情文化圣地；复建舜帝庙、综合旅游集散服务中心、智慧自驾车宿营地，做好解梁古城遗址保护利用工作。</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伍姓湖休闲度假康养旅游区建设项目。</w:t>
            </w:r>
            <w:r>
              <w:rPr>
                <w:rFonts w:hint="eastAsia" w:ascii="方正小标宋简体" w:hAnsi="方正小标宋简体" w:eastAsia="方正小标宋简体" w:cs="方正小标宋简体"/>
                <w:szCs w:val="21"/>
              </w:rPr>
              <w:t>以滨河休闲轴与文化展示为依托载体，建设酒吧、茶吧、咖啡吧、手工坊、陶吧、文艺体验馆等，建设炫彩风情街、永济“宽窄巷子”；依托市医院新建医康项目，建设智慧康养社区；增建2A级以上旅游厕所2座，驿站1处，智慧停车场1处，旅游超市1处。</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中条山生态休闲旅游带建设项目。</w:t>
            </w:r>
            <w:r>
              <w:rPr>
                <w:rFonts w:hint="eastAsia" w:ascii="方正小标宋简体" w:hAnsi="方正小标宋简体" w:eastAsia="方正小标宋简体" w:cs="方正小标宋简体"/>
                <w:szCs w:val="21"/>
              </w:rPr>
              <w:t>沿线汽车营地等风景带建设，精品民宿和特色酒店等度假带建设，全季节旅游产业链等产业带建设，依托最美公路S337和沿山国家绿色步道，整合提升沿线知名景区知名村落，促进旅游带建设。</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连片5A级旅游景区建设项目。</w:t>
            </w:r>
            <w:r>
              <w:rPr>
                <w:rFonts w:hint="eastAsia" w:ascii="方正小标宋简体" w:hAnsi="方正小标宋简体" w:eastAsia="方正小标宋简体" w:cs="方正小标宋简体"/>
                <w:szCs w:val="21"/>
              </w:rPr>
              <w:t>建设鹳雀楼楼内楼层主题重构楼体光影工程；田园书院建设工程，科技化体验设施新建项目；普救寺景区提升工程；铁牛馆提升建设项目包括浮桥博物馆建设和中国铸造工艺技术演义建设；蒲州故城外围建设项目，包括华夏文化博览园项目、康养中心建设项目、休闲度假区建设项目、舜帝庙复建项目、文创基地建设项目、枢纽型研学博物馆项目等；游客综合服务中心建设项目。建设尧王台特色小镇、水峪口古村特色小镇、五老峰游客服务中心、滑翔伞基地、航空运动小镇建设项目、汽车露营地、旅游步道提升改造、柳隐山景区开发保护等项目。</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东南亚文化风情园项目。</w:t>
            </w:r>
            <w:r>
              <w:rPr>
                <w:rFonts w:hint="eastAsia" w:ascii="方正小标宋简体" w:hAnsi="方正小标宋简体" w:eastAsia="方正小标宋简体" w:cs="方正小标宋简体"/>
                <w:szCs w:val="21"/>
              </w:rPr>
              <w:t>该项目拟占地500-800亩，建设芭提雅商业中心、不夜城、五星级酒店、泰国水疗馆等项目。</w:t>
            </w:r>
          </w:p>
          <w:p>
            <w:pPr>
              <w:adjustRightInd w:val="0"/>
              <w:snapToGrid w:val="0"/>
              <w:spacing w:afterLines="50" w:line="360" w:lineRule="exact"/>
              <w:ind w:firstLine="422" w:firstLineChars="200"/>
              <w:jc w:val="both"/>
              <w:rPr>
                <w:rFonts w:ascii="Times New Roman" w:hAnsi="Times New Roman" w:eastAsia="仿宋_GB2312" w:cs="Times New Roman"/>
                <w:sz w:val="24"/>
                <w:szCs w:val="24"/>
              </w:rPr>
            </w:pPr>
            <w:r>
              <w:rPr>
                <w:rFonts w:hint="eastAsia" w:ascii="方正小标宋简体" w:hAnsi="方正小标宋简体" w:eastAsia="方正小标宋简体" w:cs="方正小标宋简体"/>
                <w:b/>
                <w:szCs w:val="21"/>
              </w:rPr>
              <w:t>旅游＋”“＋旅游”建设项目。</w:t>
            </w:r>
            <w:r>
              <w:rPr>
                <w:rFonts w:hint="eastAsia" w:ascii="方正小标宋简体" w:hAnsi="方正小标宋简体" w:eastAsia="方正小标宋简体" w:cs="方正小标宋简体"/>
                <w:szCs w:val="21"/>
              </w:rPr>
              <w:t>深化东开张国家重点乡村旅游示范村、西厢村山西省3A级乡村旅游示范村、惠畅老粗布文化创意有限公司、河东泽芦源文化创意有限公司山西省休闲农业和乡村旅游示范点的提档升级等。开发以中车集团电机厂、印染厂、酒厂等为重点的体验研学旅游项目；改造纺织厂、化肥厂等废旧厂房为工业旅游项目。建设中条山山地育业集聚群、城市休闲运动集聚群、伍姓湖滨湖尚游乐集聚群等项目。依托“五老峰”景区建立“自然科学”青少年教育基地，依托“太宁葫芦园文化创意园”“蒲州镇学院手工艺品厂”“惠畅老粗布”建立“农耕文化”青少年教育基地，依托“鹳雀楼”景区建立“诗歌国学”青少年教育基地、永济市非遗文化手工产品产业园项目；依托虞临永第一支部、普乐头陈家联络站等打造省级党性教育基地；扩建永济市革命烈士纪念馆，打造省级红色教育基地。</w:t>
            </w:r>
          </w:p>
        </w:tc>
      </w:tr>
    </w:tbl>
    <w:p>
      <w:pPr>
        <w:spacing w:beforeLines="50" w:afterLines="50"/>
        <w:jc w:val="center"/>
        <w:outlineLvl w:val="1"/>
        <w:rPr>
          <w:rFonts w:ascii="Times New Roman" w:hAnsi="Times New Roman" w:eastAsia="楷体_GB2312" w:cs="Times New Roman"/>
          <w:kern w:val="0"/>
          <w:sz w:val="32"/>
          <w:szCs w:val="32"/>
          <w:lang w:bidi="en-US"/>
        </w:rPr>
      </w:pPr>
      <w:bookmarkStart w:id="71" w:name="_Toc68253250"/>
      <w:r>
        <w:rPr>
          <w:rFonts w:ascii="Times New Roman" w:hAnsi="Times New Roman" w:eastAsia="楷体_GB2312" w:cs="Times New Roman"/>
          <w:kern w:val="0"/>
          <w:sz w:val="32"/>
          <w:szCs w:val="32"/>
          <w:lang w:bidi="en-US"/>
        </w:rPr>
        <w:t xml:space="preserve">第二节  </w:t>
      </w:r>
      <w:r>
        <w:rPr>
          <w:rFonts w:hint="eastAsia" w:ascii="Times New Roman" w:hAnsi="Times New Roman" w:eastAsia="楷体_GB2312" w:cs="Times New Roman"/>
          <w:kern w:val="0"/>
          <w:sz w:val="32"/>
          <w:szCs w:val="32"/>
          <w:lang w:bidi="en-US"/>
        </w:rPr>
        <w:t>完善</w:t>
      </w:r>
      <w:r>
        <w:rPr>
          <w:rFonts w:ascii="Times New Roman" w:hAnsi="Times New Roman" w:eastAsia="楷体_GB2312" w:cs="Times New Roman"/>
          <w:kern w:val="0"/>
          <w:sz w:val="32"/>
          <w:szCs w:val="32"/>
          <w:lang w:bidi="en-US"/>
        </w:rPr>
        <w:t>旅游</w:t>
      </w:r>
      <w:r>
        <w:rPr>
          <w:rFonts w:hint="eastAsia" w:ascii="Times New Roman" w:hAnsi="Times New Roman" w:eastAsia="楷体_GB2312" w:cs="Times New Roman"/>
          <w:kern w:val="0"/>
          <w:sz w:val="32"/>
          <w:szCs w:val="32"/>
          <w:lang w:bidi="en-US"/>
        </w:rPr>
        <w:t>要素链条</w:t>
      </w:r>
      <w:bookmarkEnd w:id="71"/>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紧跟旅游市场需求的持续升级和旅游产业融合的不断演进，以旅游要素为基础，对资源进行整合，对新业态进行培育，努力打造极致的旅游休闲体验，建设智慧化、规范化、标准化旅游服务标杆。</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打造一流旅游要素。</w:t>
      </w:r>
      <w:r>
        <w:rPr>
          <w:rFonts w:ascii="Times New Roman" w:hAnsi="Times New Roman" w:eastAsia="仿宋_GB2312" w:cs="Times New Roman"/>
          <w:kern w:val="0"/>
          <w:sz w:val="32"/>
          <w:szCs w:val="32"/>
        </w:rPr>
        <w:t>集中力量推动旅游厕所、配套餐饮、游客服务平台</w:t>
      </w:r>
      <w:r>
        <w:rPr>
          <w:rFonts w:hint="eastAsia" w:ascii="Times New Roman" w:hAnsi="Times New Roman" w:eastAsia="仿宋_GB2312" w:cs="Times New Roman"/>
          <w:kern w:val="0"/>
          <w:sz w:val="32"/>
          <w:szCs w:val="32"/>
        </w:rPr>
        <w:t>、旅游集散中心</w:t>
      </w:r>
      <w:r>
        <w:rPr>
          <w:rFonts w:ascii="Times New Roman" w:hAnsi="Times New Roman" w:eastAsia="仿宋_GB2312" w:cs="Times New Roman"/>
          <w:kern w:val="0"/>
          <w:sz w:val="32"/>
          <w:szCs w:val="32"/>
        </w:rPr>
        <w:t>等重要旅游基础设施提质扩量。积极推进旅游集散中心建设，打造集旅游咨询、自驾服务、旅游专线为一体的大型综合旅游服务中心。</w:t>
      </w:r>
      <w:r>
        <w:rPr>
          <w:rFonts w:hint="eastAsia" w:ascii="Times New Roman" w:hAnsi="Times New Roman" w:eastAsia="仿宋_GB2312" w:cs="Times New Roman"/>
          <w:kern w:val="0"/>
          <w:sz w:val="32"/>
          <w:szCs w:val="32"/>
        </w:rPr>
        <w:t>依托面食集团，丰富地方小吃，</w:t>
      </w:r>
      <w:r>
        <w:rPr>
          <w:rFonts w:ascii="Times New Roman" w:hAnsi="Times New Roman" w:eastAsia="仿宋_GB2312" w:cs="Times New Roman"/>
          <w:kern w:val="0"/>
          <w:sz w:val="32"/>
          <w:szCs w:val="32"/>
        </w:rPr>
        <w:t>研发评选独具特色的蒲坂菜系推荐名录，</w:t>
      </w:r>
      <w:r>
        <w:rPr>
          <w:rFonts w:hint="eastAsia" w:ascii="Times New Roman" w:hAnsi="Times New Roman" w:eastAsia="仿宋_GB2312" w:cs="Times New Roman"/>
          <w:kern w:val="0"/>
          <w:sz w:val="32"/>
          <w:szCs w:val="32"/>
        </w:rPr>
        <w:t>打造特色街区，</w:t>
      </w:r>
      <w:r>
        <w:rPr>
          <w:rFonts w:ascii="Times New Roman" w:hAnsi="Times New Roman" w:eastAsia="仿宋_GB2312" w:cs="Times New Roman"/>
          <w:kern w:val="0"/>
          <w:sz w:val="32"/>
          <w:szCs w:val="32"/>
        </w:rPr>
        <w:t>建设示范店，</w:t>
      </w:r>
      <w:r>
        <w:rPr>
          <w:rFonts w:hint="eastAsia" w:ascii="Times New Roman" w:hAnsi="Times New Roman" w:eastAsia="仿宋_GB2312" w:cs="Times New Roman"/>
          <w:kern w:val="0"/>
          <w:sz w:val="32"/>
          <w:szCs w:val="32"/>
        </w:rPr>
        <w:t>形成具有永济特色的餐饮体系，</w:t>
      </w:r>
      <w:r>
        <w:rPr>
          <w:rFonts w:ascii="Times New Roman" w:hAnsi="Times New Roman" w:eastAsia="仿宋_GB2312" w:cs="Times New Roman"/>
          <w:kern w:val="0"/>
          <w:sz w:val="32"/>
          <w:szCs w:val="32"/>
        </w:rPr>
        <w:t>形成永济的“美食符号”。</w:t>
      </w:r>
      <w:r>
        <w:rPr>
          <w:rFonts w:hint="eastAsia" w:ascii="Times New Roman" w:hAnsi="Times New Roman" w:eastAsia="仿宋_GB2312" w:cs="Times New Roman"/>
          <w:kern w:val="0"/>
          <w:sz w:val="32"/>
          <w:szCs w:val="32"/>
        </w:rPr>
        <w:t>加快</w:t>
      </w:r>
      <w:r>
        <w:rPr>
          <w:rFonts w:ascii="Times New Roman" w:hAnsi="Times New Roman" w:eastAsia="仿宋_GB2312" w:cs="Times New Roman"/>
          <w:kern w:val="0"/>
          <w:sz w:val="32"/>
          <w:szCs w:val="32"/>
        </w:rPr>
        <w:t>希尔顿、尊悦荟等高端知名酒店，加强市内宾馆规范、改造，鼓励发展经济型连锁酒店、青年旅社、乡村旅游俱乐部等，</w:t>
      </w:r>
      <w:r>
        <w:rPr>
          <w:rFonts w:hint="eastAsia" w:ascii="Times New Roman" w:hAnsi="Times New Roman" w:eastAsia="仿宋_GB2312" w:cs="Times New Roman"/>
          <w:kern w:val="0"/>
          <w:sz w:val="32"/>
          <w:szCs w:val="32"/>
        </w:rPr>
        <w:t>在沿山沿黄沿景区大力发展晋南特色民宿，</w:t>
      </w:r>
      <w:r>
        <w:rPr>
          <w:rFonts w:ascii="Times New Roman" w:hAnsi="Times New Roman" w:eastAsia="仿宋_GB2312" w:cs="Times New Roman"/>
          <w:kern w:val="0"/>
          <w:sz w:val="32"/>
          <w:szCs w:val="32"/>
        </w:rPr>
        <w:t>构建以星级酒店为龙头</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快捷酒店为主体</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乡村民宿为补充的旅游住宿体系。优化主要景区公交线路，构建“城景快捷通达、景景环线串联、指示标识完备”的旅游交通网络。</w:t>
      </w:r>
      <w:r>
        <w:rPr>
          <w:rFonts w:hint="eastAsia" w:ascii="Times New Roman" w:hAnsi="Times New Roman" w:eastAsia="仿宋_GB2312" w:cs="Times New Roman"/>
          <w:kern w:val="0"/>
          <w:sz w:val="32"/>
          <w:szCs w:val="32"/>
        </w:rPr>
        <w:t>打造“永济礼物”旗舰店，让旅客玩的开心、住的舒心、购的放心。</w:t>
      </w:r>
    </w:p>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打造一流旅游服务。</w:t>
      </w:r>
      <w:r>
        <w:rPr>
          <w:rFonts w:ascii="Times New Roman" w:hAnsi="Times New Roman" w:eastAsia="仿宋_GB2312" w:cs="Times New Roman"/>
          <w:color w:val="000000"/>
          <w:sz w:val="32"/>
          <w:szCs w:val="32"/>
        </w:rPr>
        <w:t>规范旅游服务市场，聚焦景区景点、宾馆饭店、民宿客栈、旅游乡村、旅游客运等，突出主题、特色和品质，开展行业标准化建设，打造一批省级以上认证的旅游服务产品。强化对景区景点、旅行社和导游人员的服务监管，引导从业人员不断提升服务水平</w:t>
      </w:r>
      <w:r>
        <w:rPr>
          <w:rFonts w:hint="eastAsia" w:ascii="Times New Roman" w:hAnsi="Times New Roman" w:eastAsia="仿宋_GB2312" w:cs="Times New Roman"/>
          <w:color w:val="000000"/>
          <w:sz w:val="32"/>
          <w:szCs w:val="32"/>
        </w:rPr>
        <w:t>，建设智慧化、规范化、标准化服务标杆</w:t>
      </w:r>
      <w:r>
        <w:rPr>
          <w:rFonts w:ascii="Times New Roman" w:hAnsi="Times New Roman" w:eastAsia="仿宋_GB2312" w:cs="Times New Roman"/>
          <w:color w:val="000000"/>
          <w:sz w:val="32"/>
          <w:szCs w:val="32"/>
        </w:rPr>
        <w:t>。扶持发展与旅游业相关的服务行业协会，发挥行业组织在营造公平竞争环境、促进行业自律、服务企业经营管理等方面的作用。</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加快智慧旅游建设。</w:t>
      </w:r>
      <w:r>
        <w:rPr>
          <w:rFonts w:ascii="Times New Roman" w:hAnsi="Times New Roman" w:eastAsia="仿宋_GB2312" w:cs="Times New Roman"/>
          <w:kern w:val="0"/>
          <w:sz w:val="32"/>
          <w:szCs w:val="32"/>
        </w:rPr>
        <w:t>以提升游客服务质量为核心，重点推动文化旅游云数据库平台、文化旅游官方门户网站平台、智慧文旅技术应用平台建设。全面实施“互联网+旅游”战略，建设华夏经典文化旅游区、五老峰、神潭大峡谷、雪花山4个智慧旅游示范景区，分类型推进一批智慧小镇、智慧自驾旅游、智慧旅游街区以及智慧乡村旅游试点，在市区、A级以上景区等重点区域实现WiFi全覆盖。建立永济旅游电商服务平台，研究开发永济旅游手机软件（APP），全面实现景区门票、住宿餐饮、商品销售线上线下无缝衔接。</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统筹全域精准营销。</w:t>
      </w:r>
      <w:r>
        <w:rPr>
          <w:rFonts w:ascii="Times New Roman" w:hAnsi="Times New Roman" w:eastAsia="仿宋_GB2312" w:cs="Times New Roman"/>
          <w:kern w:val="0"/>
          <w:sz w:val="32"/>
          <w:szCs w:val="32"/>
        </w:rPr>
        <w:t>坚持省内省外并重，线上线下互动，提升完善旅游宣传口号和形象标识，做大客源市场，做亮品牌形象。主动对接重点客源地旅行社，全面推介鹳雀楼大唐陪都文化游精品线路，迅速提高线路知名度和影响力。充分发挥微信、微博、抖音等新媒体作用，加强文化旅游产品网络宣传。采取政府引导、企业主体、市场运作、社会参与模式，继续办好五老峰登山节、鹳雀楼诗歌文化节、普救寺爱情文化节</w:t>
      </w:r>
      <w:r>
        <w:rPr>
          <w:rFonts w:hint="eastAsia" w:ascii="Times New Roman" w:hAnsi="Times New Roman" w:eastAsia="仿宋_GB2312" w:cs="Times New Roman"/>
          <w:kern w:val="0"/>
          <w:sz w:val="32"/>
          <w:szCs w:val="32"/>
        </w:rPr>
        <w:t>和2021年山西鼓乐大赛</w:t>
      </w:r>
      <w:r>
        <w:rPr>
          <w:rFonts w:ascii="Times New Roman" w:hAnsi="Times New Roman" w:eastAsia="仿宋_GB2312" w:cs="Times New Roman"/>
          <w:kern w:val="0"/>
          <w:sz w:val="32"/>
          <w:szCs w:val="32"/>
        </w:rPr>
        <w:t>等特色活动，重点打造五老峰朝峰庙会、雪花山玉皇庙会、万固寺祈福庙会、舜帝山龙王庙会等传统特色庙会活动，做活鹳雀楼灯光音乐节、唐风美食街等夜间特色活动</w:t>
      </w:r>
      <w:r>
        <w:rPr>
          <w:rFonts w:hint="eastAsia" w:ascii="Times New Roman" w:hAnsi="Times New Roman" w:eastAsia="仿宋_GB2312" w:cs="Times New Roman"/>
          <w:kern w:val="0"/>
          <w:sz w:val="32"/>
          <w:szCs w:val="32"/>
        </w:rPr>
        <w:t>。充分发挥体育场馆作用，积极争取更多高端体育赛事在永济举办，精心筹划鹳雀楼至伍姓湖全程马拉松，以体育赛事串联六大景区</w:t>
      </w:r>
      <w:r>
        <w:rPr>
          <w:rFonts w:hint="eastAsia" w:ascii="仿宋_GB2312" w:hAnsi="仿宋_GB2312" w:eastAsia="仿宋_GB2312" w:cs="仿宋_GB2312"/>
          <w:sz w:val="36"/>
          <w:szCs w:val="36"/>
        </w:rPr>
        <w:t>。</w:t>
      </w:r>
      <w:r>
        <w:rPr>
          <w:rFonts w:ascii="Times New Roman" w:hAnsi="Times New Roman" w:eastAsia="仿宋_GB2312" w:cs="Times New Roman"/>
          <w:kern w:val="0"/>
          <w:sz w:val="32"/>
          <w:szCs w:val="32"/>
        </w:rPr>
        <w:t>通过名节、名会、名吃和手工艺美术精品，让更多的游客了解永济、走进永济，叫响“舜风唐韵•魅力永济”品牌。</w:t>
      </w:r>
    </w:p>
    <w:p>
      <w:pPr>
        <w:spacing w:beforeLines="50" w:afterLines="50"/>
        <w:jc w:val="center"/>
        <w:outlineLvl w:val="1"/>
        <w:rPr>
          <w:rFonts w:ascii="Times New Roman" w:hAnsi="Times New Roman" w:eastAsia="楷体_GB2312" w:cs="Times New Roman"/>
          <w:kern w:val="0"/>
          <w:sz w:val="32"/>
          <w:szCs w:val="32"/>
          <w:lang w:bidi="en-US"/>
        </w:rPr>
      </w:pPr>
      <w:bookmarkStart w:id="72" w:name="_Toc68253251"/>
      <w:r>
        <w:rPr>
          <w:rFonts w:ascii="Times New Roman" w:hAnsi="Times New Roman" w:eastAsia="楷体_GB2312" w:cs="Times New Roman"/>
          <w:kern w:val="0"/>
          <w:sz w:val="32"/>
          <w:szCs w:val="32"/>
          <w:lang w:bidi="en-US"/>
        </w:rPr>
        <w:t>第三节  推进文化旅游深度融合</w:t>
      </w:r>
      <w:bookmarkEnd w:id="72"/>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充分发挥我市文化资源优势，突出特色、挖掘内涵，加大文化资源、文化设施的旅游开发，按照“宜融则融，能融尽融，以文促旅，以旅彰文”的要求，让文化和旅游协调推进、融合发展更紧密更有效。</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大力传承永济历史文脉。</w:t>
      </w:r>
      <w:r>
        <w:rPr>
          <w:rFonts w:ascii="Times New Roman" w:hAnsi="Times New Roman" w:eastAsia="仿宋_GB2312" w:cs="Times New Roman"/>
          <w:kern w:val="0"/>
          <w:sz w:val="32"/>
          <w:szCs w:val="32"/>
        </w:rPr>
        <w:t>深度挖掘虞舜德孝文化、鹳雀楼诗歌文化、普救寺爱情文化、柳宗元廉吏文化等品牌内涵，认真收集整理乡风民俗、民间传说、风景区故事等民族民俗文化遗产，精心创作体现永济文化底蕴、展现永济地域风情、提升永济对外形象的文艺精品。出版一批文化书籍，出刊一批摄影、书法、绘画作品，编排一批承载旅游风光和本地特色民风民俗为内容的歌舞，拍摄一批反映永济题材的电影、电视剧，创作一批经典歌曲，打造一批反映蒲坂厚重历史文化的演艺精品，培养一批手工艺美术品制作人才。扶持充分利用文化品牌资源和各种文物古迹、博物馆、纪念馆、陈列馆、文化园，建设一批具有我市地域特色的文化旅游基地和民俗文化生态旅游村（镇）。</w:t>
      </w:r>
    </w:p>
    <w:p>
      <w:pPr>
        <w:widowControl w:val="0"/>
        <w:wordWrap/>
        <w:adjustRightInd/>
        <w:snapToGrid/>
        <w:spacing w:line="580" w:lineRule="exact"/>
        <w:ind w:left="0" w:leftChars="0" w:right="0" w:firstLine="643" w:firstLineChars="200"/>
        <w:jc w:val="both"/>
        <w:textAlignment w:val="auto"/>
        <w:outlineLvl w:val="9"/>
        <w:rPr>
          <w:rFonts w:ascii="Times New Roman" w:hAnsi="Times New Roman" w:eastAsia="仿宋_GB2312" w:cs="Times New Roman"/>
        </w:rPr>
      </w:pPr>
      <w:r>
        <w:rPr>
          <w:rFonts w:ascii="Times New Roman" w:hAnsi="Times New Roman" w:eastAsia="仿宋_GB2312" w:cs="Times New Roman"/>
          <w:b/>
          <w:bCs/>
          <w:kern w:val="0"/>
          <w:sz w:val="32"/>
          <w:szCs w:val="32"/>
        </w:rPr>
        <w:t>加强文物和非物质文化遗产保护传承。</w:t>
      </w:r>
      <w:r>
        <w:rPr>
          <w:rFonts w:ascii="Times New Roman" w:hAnsi="Times New Roman" w:eastAsia="仿宋_GB2312" w:cs="Times New Roman"/>
          <w:kern w:val="0"/>
          <w:sz w:val="32"/>
          <w:szCs w:val="32"/>
        </w:rPr>
        <w:t>围绕重点非遗保护项目和景区文化定位，继续推进非遗项目进景区，开展演艺作品的策划编排、推广交流。多元推广戏曲、曲艺、舞剧等，推进《西厢记》《旗亭画壁》《长旺背冰》</w:t>
      </w:r>
      <w:r>
        <w:rPr>
          <w:rFonts w:hint="eastAsia" w:ascii="Times New Roman" w:hAnsi="Times New Roman" w:eastAsia="仿宋_GB2312" w:cs="Times New Roman"/>
          <w:kern w:val="0"/>
          <w:sz w:val="32"/>
          <w:szCs w:val="32"/>
        </w:rPr>
        <w:t>、《永济道情》</w:t>
      </w:r>
      <w:r>
        <w:rPr>
          <w:rFonts w:ascii="Times New Roman" w:hAnsi="Times New Roman" w:eastAsia="仿宋_GB2312" w:cs="Times New Roman"/>
          <w:kern w:val="0"/>
          <w:sz w:val="32"/>
          <w:szCs w:val="32"/>
        </w:rPr>
        <w:t>等演艺精品实景演出。加强手工艺美术品的保护传承发展，建立永济工艺美术馆，扩大具有非遗性质、地域文化特色的手工艺美术品制作。做好永济文创IP大学问，重点依托全市国保文物和国家级非遗项目，打造永济的文创特色标签，实现文化创意到文创经济转化。认真贯彻“保护为主、抢救第一、合理利用、加强管理”的文物工作方针，加快建设蒲津渡与蒲州故城国家考古遗址公园，保护文物资源，挖掘文物内涵</w:t>
      </w:r>
      <w:r>
        <w:rPr>
          <w:rFonts w:hint="eastAsia" w:ascii="Times New Roman" w:hAnsi="Times New Roman" w:eastAsia="仿宋_GB2312" w:cs="Times New Roman"/>
          <w:kern w:val="0"/>
          <w:sz w:val="32"/>
          <w:szCs w:val="32"/>
        </w:rPr>
        <w:t>，让文物活起来</w:t>
      </w:r>
      <w:r>
        <w:rPr>
          <w:rFonts w:ascii="Times New Roman" w:hAnsi="Times New Roman" w:eastAsia="仿宋_GB2312" w:cs="Times New Roman"/>
          <w:kern w:val="0"/>
          <w:sz w:val="32"/>
          <w:szCs w:val="32"/>
        </w:rPr>
        <w:t>。</w:t>
      </w:r>
    </w:p>
    <w:p>
      <w:pPr>
        <w:widowControl w:val="0"/>
        <w:wordWrap/>
        <w:adjustRightInd/>
        <w:snapToGrid/>
        <w:spacing w:after="160" w:afterLines="50" w:line="580" w:lineRule="exact"/>
        <w:ind w:left="0" w:leftChars="0" w:right="0" w:firstLine="643" w:firstLineChars="200"/>
        <w:jc w:val="both"/>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lang w:bidi="en-US"/>
        </w:rPr>
        <w:t>深化文旅体制机制改革。</w:t>
      </w:r>
      <w:r>
        <w:rPr>
          <w:rFonts w:ascii="Times New Roman" w:hAnsi="Times New Roman" w:eastAsia="仿宋_GB2312" w:cs="Times New Roman"/>
          <w:kern w:val="0"/>
          <w:sz w:val="32"/>
          <w:szCs w:val="32"/>
        </w:rPr>
        <w:t>按照所有权、管理权、经营权三权分离原则进行资源整合，扎实推进鹳雀楼、普救寺、铁牛馆、五老峰四大国有景区体制改革。加快推进鹳雀楼旅游集团公司按照“市场化、标准化、专业化”运营管理模式，完善职业经理人制度，推进财务、营销、人事、项目整理和发展战略“五统一”，打造成为投资、建设、运营、营销“四位一体”的旅游投资运营管理综合服务商。以管理权、经营权“两权分离”为基本要求，进一步推动成立能直接参与市场竞争的市场主体或引入专业化的文旅开发、运营等机构，实现文化、文物的旅游开发专业化、公司化、市场化发展。坚持“政府引导、市场运作、社会参与”的原则，创新文化文物旅游单位运营合作机制，加强文化旅游资源市场化开发利用。</w:t>
      </w:r>
      <w:r>
        <w:rPr>
          <w:rFonts w:hint="eastAsia" w:ascii="Times New Roman" w:hAnsi="Times New Roman" w:eastAsia="仿宋_GB2312" w:cs="Times New Roman"/>
          <w:kern w:val="0"/>
          <w:sz w:val="32"/>
          <w:szCs w:val="32"/>
        </w:rPr>
        <w:t>深化“放管服”改革，加快旅游项目审批速度。</w:t>
      </w:r>
    </w:p>
    <w:tbl>
      <w:tblPr>
        <w:tblStyle w:val="19"/>
        <w:tblW w:w="8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880" w:type="dxa"/>
            <w:vAlign w:val="top"/>
          </w:tcPr>
          <w:p>
            <w:pPr>
              <w:jc w:val="both"/>
              <w:rPr>
                <w:rFonts w:ascii="Times New Roman" w:hAnsi="Times New Roman" w:eastAsia="仿宋_GB2312" w:cs="Times New Roman"/>
                <w:sz w:val="24"/>
                <w:szCs w:val="24"/>
              </w:rPr>
            </w:pPr>
            <w:r>
              <w:rPr>
                <w:rFonts w:hint="eastAsia" w:ascii="黑体" w:hAnsi="黑体" w:eastAsia="黑体" w:cs="黑体"/>
                <w:sz w:val="28"/>
                <w:szCs w:val="28"/>
              </w:rPr>
              <w:t>专栏</w:t>
            </w:r>
            <w:r>
              <w:rPr>
                <w:rFonts w:ascii="黑体" w:hAnsi="黑体" w:eastAsia="黑体" w:cs="黑体"/>
                <w:sz w:val="28"/>
                <w:szCs w:val="28"/>
              </w:rPr>
              <w:t>8</w:t>
            </w:r>
            <w:r>
              <w:rPr>
                <w:rFonts w:hint="eastAsia" w:ascii="黑体" w:hAnsi="黑体" w:eastAsia="黑体" w:cs="黑体"/>
                <w:sz w:val="28"/>
                <w:szCs w:val="28"/>
              </w:rPr>
              <w:t>：“十四五”文物保护项目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1" w:hRule="atLeast"/>
        </w:trPr>
        <w:tc>
          <w:tcPr>
            <w:tcW w:w="8880" w:type="dxa"/>
            <w:vAlign w:val="top"/>
          </w:tcPr>
          <w:p>
            <w:pPr>
              <w:adjustRightInd w:val="0"/>
              <w:snapToGrid w:val="0"/>
              <w:spacing w:beforeLines="50"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国保文物保护工程8个。</w:t>
            </w:r>
            <w:r>
              <w:rPr>
                <w:rFonts w:hint="eastAsia" w:ascii="方正小标宋简体" w:hAnsi="方正小标宋简体" w:eastAsia="方正小标宋简体" w:cs="方正小标宋简体"/>
                <w:szCs w:val="21"/>
              </w:rPr>
              <w:t>包括①蒲津渡遗址保护工程3个：1号铁人手臂保护项目前期勘察、铁质文物群地下阴极保护设施更新改造、铁质文物数字化信息采集项目。②万固寺保护修缮工程，对寺内的大雄宝殿、无梁殿、多宝佛塔等进行保护修缮。③扁鹊庙保护工程2个：塑像壁画修复保护、环境整治工程。④解粱故城环境整治工程。⑤栖岩寺保护和环境整治工程。⑥东姚温牌坊环境整治工程。⑦董村戏台环境整治工程。⑧蒲津渡与蒲州故城遗址文物保护修缮、环境整治和基础设施建设工程。</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省保文物保护工程2个。</w:t>
            </w:r>
            <w:r>
              <w:rPr>
                <w:rFonts w:hint="eastAsia" w:ascii="方正小标宋简体" w:hAnsi="方正小标宋简体" w:eastAsia="方正小标宋简体" w:cs="方正小标宋简体"/>
                <w:szCs w:val="21"/>
              </w:rPr>
              <w:t>伯夷叔齐墓环境整治工程、杨瞻及其家族墓地碑刻修复。</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市保文物保护工程3个。</w:t>
            </w:r>
            <w:r>
              <w:rPr>
                <w:rFonts w:hint="eastAsia" w:ascii="方正小标宋简体" w:hAnsi="方正小标宋简体" w:eastAsia="方正小标宋简体" w:cs="方正小标宋简体"/>
                <w:szCs w:val="21"/>
              </w:rPr>
              <w:t>陈村伯王庙抬升保护工程、新街药王庙保护修缮工程、阎敬铭别墅围墙抢险保护工程、孙常大佛寺保护工程。</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红色革命文物保护工程2个。</w:t>
            </w:r>
            <w:r>
              <w:rPr>
                <w:rFonts w:hint="eastAsia" w:ascii="方正小标宋简体" w:hAnsi="方正小标宋简体" w:eastAsia="方正小标宋简体" w:cs="方正小标宋简体"/>
                <w:szCs w:val="21"/>
              </w:rPr>
              <w:t>李雪峰故居保护修缮工程、郑林生平及红色书法展。</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博物馆工程8个。</w:t>
            </w:r>
            <w:r>
              <w:rPr>
                <w:rFonts w:hint="eastAsia" w:ascii="方正小标宋简体" w:hAnsi="方正小标宋简体" w:eastAsia="方正小标宋简体" w:cs="方正小标宋简体"/>
                <w:szCs w:val="21"/>
              </w:rPr>
              <w:t>馆藏文物修复工程5个、馆藏文物数字化保护工程、安防工程、展陈提升及临展布展。</w:t>
            </w:r>
          </w:p>
          <w:p>
            <w:pPr>
              <w:adjustRightInd w:val="0"/>
              <w:snapToGrid w:val="0"/>
              <w:spacing w:afterLines="50" w:line="360" w:lineRule="exact"/>
              <w:ind w:firstLine="422" w:firstLineChars="200"/>
              <w:jc w:val="both"/>
              <w:rPr>
                <w:rFonts w:ascii="Times New Roman" w:hAnsi="Times New Roman" w:eastAsia="仿宋_GB2312" w:cs="Times New Roman"/>
                <w:b/>
                <w:sz w:val="24"/>
                <w:szCs w:val="24"/>
              </w:rPr>
            </w:pPr>
            <w:r>
              <w:rPr>
                <w:rFonts w:hint="eastAsia" w:ascii="方正小标宋简体" w:hAnsi="方正小标宋简体" w:eastAsia="方正小标宋简体" w:cs="方正小标宋简体"/>
                <w:b/>
                <w:szCs w:val="21"/>
              </w:rPr>
              <w:t>永济市国保单位综合信息及智能监控平台建设项目。</w:t>
            </w:r>
          </w:p>
        </w:tc>
      </w:tr>
    </w:tbl>
    <w:p>
      <w:pPr>
        <w:spacing w:beforeLines="50" w:afterLines="50"/>
        <w:jc w:val="center"/>
        <w:outlineLvl w:val="1"/>
        <w:rPr>
          <w:rFonts w:ascii="Times New Roman" w:hAnsi="Times New Roman" w:eastAsia="楷体_GB2312" w:cs="Times New Roman"/>
          <w:kern w:val="0"/>
          <w:sz w:val="32"/>
          <w:szCs w:val="32"/>
          <w:lang w:bidi="en-US"/>
        </w:rPr>
      </w:pPr>
      <w:bookmarkStart w:id="73" w:name="_Toc68253252"/>
      <w:r>
        <w:rPr>
          <w:rFonts w:ascii="Times New Roman" w:hAnsi="Times New Roman" w:eastAsia="楷体_GB2312" w:cs="Times New Roman"/>
          <w:kern w:val="0"/>
          <w:sz w:val="32"/>
          <w:szCs w:val="32"/>
          <w:lang w:bidi="en-US"/>
        </w:rPr>
        <w:t>第四节  建设市域公共文化高地</w:t>
      </w:r>
      <w:bookmarkEnd w:id="73"/>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以创建全国文明城市为抓手，以社会主义核心价值观为引领，坚持创造性转化、创新性发展，不断提高人民思想觉悟、道德水准、文明素养，提高全社会文明程度。</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大力提升社会文明程度。</w:t>
      </w:r>
      <w:r>
        <w:rPr>
          <w:rFonts w:ascii="Times New Roman" w:hAnsi="Times New Roman" w:eastAsia="仿宋_GB2312" w:cs="Times New Roman"/>
          <w:sz w:val="32"/>
          <w:szCs w:val="32"/>
        </w:rPr>
        <w:t>持续引深习近平新时代中国特色社会主义思想的学习宣传贯彻，加强爱国主义、集体主义、社会主义教育，推进公民道德建设，拓展新时代文明实践中心建设，弘扬新风正气。拓展“星级文明户”建设成果，弘扬乡贤文化，积极培育文明乡风、良好家风、淳朴民风。汲取德孝文化、诗歌文化、爱情文化、廉政文化等悠久历史文化的思想精华和道德精髓，弘扬传统美德、涵养时代精神。广泛开展志愿服务关爱行动，传递道德正能量。以提升农耕文明、振兴乡村文化为突破口，建设文化礼堂、村史馆、新时代文明实践站，通过乡村文化阵地定期举办道德讲堂，开展“十星级文明户”“我们的节日”等传统文化活动，助力移风易俗，打造乡村精神家园。</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推动文艺文化繁荣发展。</w:t>
      </w:r>
      <w:r>
        <w:rPr>
          <w:rFonts w:ascii="Times New Roman" w:hAnsi="Times New Roman" w:eastAsia="仿宋_GB2312" w:cs="Times New Roman"/>
          <w:color w:val="000000"/>
          <w:sz w:val="32"/>
          <w:szCs w:val="32"/>
        </w:rPr>
        <w:t>全面繁荣新闻出版、广播影视、文学艺术等事业，精心梳理永济特色文化元素，</w:t>
      </w:r>
      <w:r>
        <w:rPr>
          <w:rFonts w:ascii="Times New Roman" w:hAnsi="Times New Roman" w:eastAsia="仿宋_GB2312" w:cs="Times New Roman"/>
          <w:sz w:val="32"/>
          <w:szCs w:val="32"/>
        </w:rPr>
        <w:t>以尧舜德孝文化为标杆，深入挖掘蒲坂文化的丰富内涵，</w:t>
      </w:r>
      <w:r>
        <w:rPr>
          <w:rFonts w:ascii="Times New Roman" w:hAnsi="Times New Roman" w:eastAsia="仿宋_GB2312" w:cs="Times New Roman"/>
          <w:color w:val="000000"/>
          <w:sz w:val="32"/>
          <w:szCs w:val="32"/>
        </w:rPr>
        <w:t>不断推出反映时代新气象、讴歌人民新创造的文艺精品。力争到2025年，打造1-2部省级以上文化精品。推进媒体深度融合，做强新型主流媒体，建强用好融媒体中心。抓住全省实施新时代“文化晋军”人才工程的契机，培育一批基层文化工作者、优秀文化人才、高端文艺人才团队，为建设文化强市提供人才支撑。</w:t>
      </w:r>
      <w:r>
        <w:rPr>
          <w:rFonts w:ascii="Times New Roman" w:hAnsi="Times New Roman" w:eastAsia="仿宋_GB2312" w:cs="Times New Roman"/>
          <w:sz w:val="32"/>
          <w:szCs w:val="32"/>
        </w:rPr>
        <w:t>开辟“利用国家平台、讲好永济故事”的宣传新路子，形成“讲述精彩故事、打造魅力永济”的强大合力，提升</w:t>
      </w:r>
      <w:r>
        <w:rPr>
          <w:rFonts w:hint="eastAsia" w:ascii="Times New Roman" w:hAnsi="Times New Roman" w:eastAsia="仿宋_GB2312" w:cs="Times New Roman"/>
          <w:sz w:val="32"/>
          <w:szCs w:val="32"/>
        </w:rPr>
        <w:t>“舜风唐韵、魅力永济”</w:t>
      </w:r>
      <w:r>
        <w:rPr>
          <w:rFonts w:ascii="Times New Roman" w:hAnsi="Times New Roman" w:eastAsia="仿宋_GB2312" w:cs="Times New Roman"/>
          <w:sz w:val="32"/>
          <w:szCs w:val="32"/>
        </w:rPr>
        <w:t>的对外影响力。</w:t>
      </w:r>
    </w:p>
    <w:p>
      <w:pPr>
        <w:pStyle w:val="17"/>
        <w:spacing w:line="580" w:lineRule="exact"/>
        <w:ind w:firstLine="643" w:firstLineChars="200"/>
        <w:jc w:val="both"/>
        <w:rPr>
          <w:rFonts w:ascii="Times New Roman" w:hAnsi="Times New Roman" w:eastAsia="仿宋_GB2312"/>
          <w:sz w:val="32"/>
          <w:szCs w:val="32"/>
        </w:rPr>
      </w:pPr>
      <w:r>
        <w:rPr>
          <w:rFonts w:ascii="Times New Roman" w:hAnsi="Times New Roman" w:eastAsia="仿宋_GB2312"/>
          <w:b/>
          <w:bCs/>
          <w:sz w:val="32"/>
          <w:szCs w:val="32"/>
        </w:rPr>
        <w:t>深入实施文化惠民工程。</w:t>
      </w:r>
      <w:r>
        <w:rPr>
          <w:rFonts w:ascii="Times New Roman" w:hAnsi="Times New Roman" w:eastAsia="仿宋_GB2312"/>
          <w:color w:val="000000"/>
          <w:sz w:val="32"/>
          <w:szCs w:val="32"/>
        </w:rPr>
        <w:t>继续搭建公益性公共文化服务新平台，广泛开展文化志愿者活动，持续开展免费送戏下乡、农村电影放映、全民阅读等多种公益性文化活动，丰富人民群众精神文化产品。</w:t>
      </w:r>
      <w:r>
        <w:rPr>
          <w:rFonts w:hint="eastAsia" w:ascii="仿宋_GB2312" w:hAnsi="仿宋_GB2312" w:eastAsia="仿宋_GB2312" w:cs="仿宋_GB2312"/>
          <w:sz w:val="32"/>
          <w:szCs w:val="32"/>
        </w:rPr>
        <w:t>充分发挥文化中心主阵地作用，引进深圳聚橙院线管理有限公司，为全市人民呈现丰富多彩的文化大餐。</w:t>
      </w:r>
      <w:r>
        <w:rPr>
          <w:rFonts w:ascii="Times New Roman" w:hAnsi="Times New Roman" w:eastAsia="仿宋_GB2312"/>
          <w:color w:val="000000"/>
          <w:sz w:val="32"/>
          <w:szCs w:val="32"/>
        </w:rPr>
        <w:t>巩固提升现有公共文化设施建设，实现基本公共文化设施全面达标。加强街道图书分馆、镇综合文化站、村（社区）综合性文化服务中心建设，实现基层公共文化设施100%全覆盖。</w:t>
      </w:r>
      <w:r>
        <w:rPr>
          <w:rFonts w:ascii="Times New Roman" w:hAnsi="Times New Roman" w:eastAsia="仿宋_GB2312"/>
          <w:sz w:val="32"/>
          <w:szCs w:val="32"/>
        </w:rPr>
        <w:t>加快推动</w:t>
      </w:r>
      <w:r>
        <w:rPr>
          <w:rFonts w:ascii="Times New Roman" w:hAnsi="Times New Roman" w:eastAsia="仿宋_GB2312"/>
          <w:color w:val="000000"/>
          <w:sz w:val="32"/>
          <w:szCs w:val="32"/>
        </w:rPr>
        <w:t>公共文化服务数字化、便捷化、精准化，</w:t>
      </w:r>
      <w:r>
        <w:rPr>
          <w:rFonts w:ascii="Times New Roman" w:hAnsi="Times New Roman" w:eastAsia="仿宋_GB2312"/>
          <w:sz w:val="32"/>
          <w:szCs w:val="32"/>
        </w:rPr>
        <w:t>丰富公共文化产品和服务供给，以政府购买服务的方式，实现全市有线电视免费收看，更好满足人民群众日益增长的精神文化生活需求。</w:t>
      </w:r>
    </w:p>
    <w:p>
      <w:pPr>
        <w:jc w:val="both"/>
      </w:pPr>
      <w:r>
        <w:br w:type="page"/>
      </w:r>
    </w:p>
    <w:p>
      <w:pPr>
        <w:spacing w:beforeLines="50" w:afterLines="50"/>
        <w:jc w:val="center"/>
        <w:outlineLvl w:val="1"/>
        <w:rPr>
          <w:rFonts w:ascii="Times New Roman" w:hAnsi="Times New Roman" w:eastAsia="黑体" w:cs="Times New Roman"/>
          <w:spacing w:val="-6"/>
          <w:sz w:val="32"/>
          <w:szCs w:val="32"/>
        </w:rPr>
      </w:pPr>
      <w:bookmarkStart w:id="74" w:name="_Toc68253253"/>
      <w:r>
        <w:rPr>
          <w:rFonts w:hint="eastAsia" w:ascii="Times New Roman" w:hAnsi="Times New Roman" w:eastAsia="黑体" w:cs="Times New Roman"/>
          <w:spacing w:val="-6"/>
          <w:sz w:val="32"/>
          <w:szCs w:val="32"/>
        </w:rPr>
        <w:t>第六章  大力提升城市品质，建设中国北方美丽宜居山水城市</w:t>
      </w:r>
      <w:bookmarkEnd w:id="74"/>
    </w:p>
    <w:p>
      <w:pPr>
        <w:spacing w:line="62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以国土空间规划为引领，</w:t>
      </w:r>
      <w:r>
        <w:rPr>
          <w:rFonts w:ascii="Times New Roman" w:hAnsi="Times New Roman" w:eastAsia="仿宋_GB2312" w:cs="Times New Roman"/>
          <w:kern w:val="0"/>
          <w:sz w:val="32"/>
          <w:szCs w:val="32"/>
        </w:rPr>
        <w:t>严格规划管控，坚持以城带乡、城乡并重，实施城市更新行动，完善生活功能、补齐公共设施短板，完善产业功能、打造就业创新载体，完善生态功能、保护修复绿地绿廊绿道，完善人文功能、积淀文化元素魅力，完善安全功能、增加防灾减灾能力，</w:t>
      </w:r>
      <w:r>
        <w:rPr>
          <w:rFonts w:ascii="Times New Roman" w:hAnsi="Times New Roman" w:eastAsia="仿宋_GB2312" w:cs="Times New Roman"/>
          <w:sz w:val="32"/>
          <w:szCs w:val="32"/>
        </w:rPr>
        <w:t>推动将我市建设成为山水相融、人文荟萃、产业融合、独具魅力的精致城市，打造“山、水、人、城”共生相融的示范城市</w:t>
      </w:r>
      <w:r>
        <w:rPr>
          <w:rFonts w:hint="eastAsia" w:ascii="Times New Roman" w:hAnsi="Times New Roman" w:eastAsia="仿宋_GB2312" w:cs="Times New Roman"/>
          <w:sz w:val="32"/>
          <w:szCs w:val="32"/>
        </w:rPr>
        <w:t>，不断增强城乡发展的联动性、引领性、整体性。</w:t>
      </w:r>
    </w:p>
    <w:p>
      <w:pPr>
        <w:pStyle w:val="17"/>
        <w:spacing w:beforeLines="50" w:afterLines="50"/>
        <w:ind w:firstLine="0"/>
        <w:jc w:val="both"/>
        <w:outlineLvl w:val="1"/>
        <w:rPr>
          <w:rFonts w:ascii="Times New Roman" w:hAnsi="Times New Roman" w:eastAsia="楷体_GB2312"/>
          <w:color w:val="000000"/>
          <w:sz w:val="32"/>
          <w:szCs w:val="32"/>
        </w:rPr>
      </w:pPr>
      <w:bookmarkStart w:id="75" w:name="_Toc68253254"/>
      <w:r>
        <w:rPr>
          <w:rFonts w:ascii="Times New Roman" w:hAnsi="Times New Roman" w:eastAsia="楷体_GB2312"/>
          <w:kern w:val="0"/>
          <w:sz w:val="32"/>
          <w:szCs w:val="32"/>
          <w:lang w:bidi="en-US"/>
        </w:rPr>
        <w:t>第一节  构建</w:t>
      </w:r>
      <w:r>
        <w:rPr>
          <w:rFonts w:ascii="Times New Roman" w:hAnsi="Times New Roman" w:eastAsia="楷体_GB2312"/>
          <w:color w:val="000000"/>
          <w:kern w:val="0"/>
          <w:sz w:val="32"/>
          <w:szCs w:val="32"/>
          <w:lang w:bidi="en-US"/>
        </w:rPr>
        <w:t>新型城镇化发展格局</w:t>
      </w:r>
      <w:bookmarkEnd w:id="75"/>
    </w:p>
    <w:p>
      <w:pPr>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统筹布局城镇生产、生活、生态，调整优化市域城镇体系，完善“142”城市功能布局，全面推进城乡融合发展，</w:t>
      </w:r>
      <w:r>
        <w:rPr>
          <w:rFonts w:ascii="Times New Roman" w:hAnsi="Times New Roman" w:eastAsia="仿宋_GB2312" w:cs="Times New Roman"/>
          <w:color w:val="000000"/>
          <w:sz w:val="32"/>
          <w:szCs w:val="32"/>
        </w:rPr>
        <w:t>形成连接顺畅、城乡互动、功能互补、特色鲜明的新型城镇体系。</w:t>
      </w:r>
    </w:p>
    <w:p>
      <w:pPr>
        <w:spacing w:line="580" w:lineRule="exact"/>
        <w:ind w:firstLine="643" w:firstLineChars="200"/>
        <w:jc w:val="both"/>
        <w:rPr>
          <w:rFonts w:ascii="Times New Roman" w:hAnsi="Times New Roman" w:eastAsia="仿宋_GB2312" w:cs="Times New Roman"/>
          <w:sz w:val="36"/>
          <w:szCs w:val="36"/>
        </w:rPr>
      </w:pPr>
      <w:r>
        <w:rPr>
          <w:rFonts w:hint="eastAsia" w:ascii="Times New Roman" w:hAnsi="Times New Roman" w:eastAsia="仿宋_GB2312" w:cs="Times New Roman"/>
          <w:b/>
          <w:bCs/>
          <w:sz w:val="32"/>
          <w:szCs w:val="32"/>
        </w:rPr>
        <w:t>构建城市发展新格局</w:t>
      </w:r>
      <w:r>
        <w:rPr>
          <w:rFonts w:ascii="Times New Roman" w:hAnsi="Times New Roman" w:eastAsia="仿宋_GB2312" w:cs="Times New Roman"/>
          <w:b/>
          <w:bCs/>
          <w:sz w:val="32"/>
          <w:szCs w:val="32"/>
        </w:rPr>
        <w:t>。</w:t>
      </w:r>
      <w:r>
        <w:rPr>
          <w:rFonts w:hint="eastAsia" w:ascii="Times New Roman" w:hAnsi="Times New Roman" w:eastAsia="仿宋_GB2312" w:cs="Times New Roman"/>
          <w:sz w:val="32"/>
          <w:szCs w:val="32"/>
        </w:rPr>
        <w:t>坚持“一个尊重、五个统筹”，围绕“142”功能布局，坚持高起点规划、高标准建设、高水平管理，大力推进南部新区建设，打造高质量产城融合示范区。加快七社村城中村改造，依托体育中心“一场三馆”和黄河大道拓宽改造、婚礼目的地、面食产业园等项目，打造西部时尚运动圈。依托人民医院整体搬迁、伍姓湖生态治理修复，合理布局高端康养项目，打造东部医疗康养圈。依托永济泓基产业城、久鼎物流园、永旺集市和舜都市场、蒲津市场改造提升等项目，大力引进农贸、物流、快递、食品加工等行业，打造北部农贸物流圈。以加快实施农药厂、永纺、印染厂“退二进三”厂区改造和城中村改造项目为重点，以“两下两拆两进”专项整治为抓手，以城市立面改造、永济文化元素植入为手段，积极推进城市有机更新，打造中部文化商务圈。全面加快旅游步道东扩和中条山“百里画廊风景带”建设，形成山在城中、城在林中、人在画中的城市风格，打造中条山绿色生态带。以构建山水新城为目标，启动滨河公园东扩西扩工程，把水的活力引入城市，对沿岸进行高标准规划建设，将伍姓湖与涑水河充分融合，进一步加强伍姓湖与城市的互动，形成城湖融合城市发展极，打造涑水河滨水景观带，推动滨河新区建设。依托永济高铁北站，科学规划布局，挖掘文化内涵，植入特色产业，着力打造展示永济形象的重要窗口。到2025年，基本建成布局合理、功能完善、宜居宜业的美丽宜居山水城市。</w:t>
      </w:r>
    </w:p>
    <w:p>
      <w:pPr>
        <w:ind w:firstLine="643" w:firstLineChars="200"/>
        <w:jc w:val="both"/>
      </w:pPr>
      <w:r>
        <w:rPr>
          <w:rFonts w:hint="eastAsia" w:ascii="Times New Roman" w:hAnsi="Times New Roman" w:eastAsia="仿宋_GB2312" w:cs="Times New Roman"/>
          <w:b/>
          <w:bCs/>
          <w:sz w:val="32"/>
          <w:szCs w:val="32"/>
        </w:rPr>
        <w:t>聚力打造精品特色小镇</w:t>
      </w:r>
      <w:r>
        <w:rPr>
          <w:rFonts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按照完善功能、提高质量、节约用地、体现特色等要求，发挥比较优势，遵循产镇融合理念，找准发展定位，精心打造一批“产业特而强、功能聚而合、形态小而美”的精品特色小镇。推动张营镇依托永济高铁北站，科学规划布局，挖掘文化内涵，放大特色农业发展优势，着力打造展示永济形象的重要窗口，打造高铁小镇。推动卿头镇依托农副产品深加工基地建设，打造市域东北部以种植、养殖和农产品加工为主的特色农业小镇。推动虞乡镇依托国家级风景名胜区的服务基地建设，打造市域东南部以旅游带动商贸发展为主的旅游商贸小镇。推动蒲州镇整合周边乡镇旅游资源，大力发展旅游服务业，打造市域西部以旅游服务业为主的特色旅游小镇。推动栲栳镇重点发展种植、养殖和商贸业，打造市域北部以绿色种养殖和现代服务业为主的特色农业小镇。推动韩阳镇以农为主，工商并举，打造黄河金三角地区交易集散小镇。推动开张镇以发展特色农业和乡村旅游为主，打造“永济冬枣”种植、观光小镇。</w:t>
      </w:r>
    </w:p>
    <w:p>
      <w:pPr>
        <w:ind w:firstLine="643" w:firstLineChars="200"/>
        <w:jc w:val="both"/>
        <w:rPr>
          <w:rFonts w:ascii="Times New Roman" w:hAnsi="Times New Roman" w:eastAsia="仿宋" w:cs="Times New Roman"/>
          <w:sz w:val="32"/>
          <w:szCs w:val="32"/>
        </w:rPr>
      </w:pPr>
      <w:r>
        <w:rPr>
          <w:rStyle w:val="29"/>
          <w:rFonts w:ascii="Times New Roman" w:hAnsi="Times New Roman" w:eastAsia="仿宋_GB2312" w:cs="Times New Roman"/>
          <w:b/>
          <w:bCs/>
          <w:color w:val="000000"/>
          <w:sz w:val="32"/>
          <w:szCs w:val="32"/>
        </w:rPr>
        <w:t>全面推进城乡融合发展。</w:t>
      </w:r>
      <w:r>
        <w:rPr>
          <w:rFonts w:ascii="Times New Roman" w:hAnsi="Times New Roman" w:eastAsia="仿宋_GB2312" w:cs="Times New Roman"/>
          <w:sz w:val="32"/>
          <w:szCs w:val="32"/>
        </w:rPr>
        <w:t>坚持新型城镇化和城乡融合发展，增强城镇对乡村的带动能力，促进各类要素向乡村流动，</w:t>
      </w:r>
      <w:r>
        <w:rPr>
          <w:rFonts w:ascii="Times New Roman" w:hAnsi="Times New Roman" w:eastAsia="仿宋_GB2312" w:cs="Times New Roman"/>
          <w:kern w:val="0"/>
          <w:sz w:val="32"/>
          <w:szCs w:val="32"/>
        </w:rPr>
        <w:t>建立健全城乡一体化发展体制机制，</w:t>
      </w:r>
      <w:r>
        <w:rPr>
          <w:rFonts w:ascii="Times New Roman" w:hAnsi="Times New Roman" w:eastAsia="仿宋_GB2312" w:cs="Times New Roman"/>
          <w:sz w:val="32"/>
          <w:szCs w:val="32"/>
        </w:rPr>
        <w:t>构建空间融合、产业融合、市场融合、社会融合新格局。统筹城乡公共基础设施建设，围绕水、电、路、气等“硬件”设施，统筹推进“四好农村路”、农村集中供热工程、城乡休闲活动场所等建设，实现城乡公共交通的互联互通，以点带面推动乡村人居环境改善提升。统筹推进城乡公共服务均等化，推动公共服务向城区周边镇村延伸、社会事业向农村覆盖，带动农业农村现代化和农民就地就近市民化。推进城市优质资源要素下乡，推动城乡要素自由流动、平等交换和公共资源合理配置。积极引导人口向城市集中，稳步推进农业转移人口市民化，不断提高户籍人口城镇化率，提升就地城镇化水平。</w:t>
      </w:r>
    </w:p>
    <w:p>
      <w:pPr>
        <w:pStyle w:val="17"/>
        <w:spacing w:beforeLines="50" w:afterLines="50"/>
        <w:ind w:firstLine="0"/>
        <w:jc w:val="both"/>
        <w:outlineLvl w:val="1"/>
        <w:rPr>
          <w:rFonts w:ascii="Times New Roman" w:hAnsi="Times New Roman" w:eastAsia="楷体_GB2312"/>
          <w:kern w:val="0"/>
          <w:sz w:val="32"/>
          <w:szCs w:val="32"/>
          <w:lang w:bidi="en-US"/>
        </w:rPr>
      </w:pPr>
      <w:bookmarkStart w:id="76" w:name="_Toc68253255"/>
    </w:p>
    <w:p>
      <w:pPr>
        <w:pStyle w:val="17"/>
        <w:spacing w:beforeLines="50" w:afterLines="50"/>
        <w:ind w:firstLine="0"/>
        <w:jc w:val="center"/>
        <w:outlineLvl w:val="1"/>
        <w:rPr>
          <w:rFonts w:ascii="Times New Roman" w:hAnsi="Times New Roman" w:eastAsia="楷体_GB2312"/>
          <w:kern w:val="0"/>
          <w:sz w:val="32"/>
          <w:szCs w:val="32"/>
          <w:lang w:bidi="en-US"/>
        </w:rPr>
      </w:pPr>
      <w:r>
        <w:rPr>
          <w:rFonts w:ascii="Times New Roman" w:hAnsi="Times New Roman" w:eastAsia="楷体_GB2312"/>
          <w:kern w:val="0"/>
          <w:sz w:val="32"/>
          <w:szCs w:val="32"/>
          <w:lang w:bidi="en-US"/>
        </w:rPr>
        <w:t>第二节  全面推进城市更新</w:t>
      </w:r>
      <w:bookmarkEnd w:id="76"/>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聚焦城市品质提升，完善基础设施，改善人居环境，打造“城市客厅”，推行绿色制度，倡导绿色生活，加强城镇老旧小区改造和社区建设，增强城市防洪排涝能力，建设海绵城市、韧性城市。</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完善城市基础设施。</w:t>
      </w:r>
      <w:r>
        <w:rPr>
          <w:rFonts w:ascii="Times New Roman" w:hAnsi="Times New Roman" w:eastAsia="仿宋_GB2312" w:cs="Times New Roman"/>
          <w:color w:val="000000"/>
          <w:sz w:val="32"/>
          <w:szCs w:val="32"/>
        </w:rPr>
        <w:t>坚持道路建设先行，实施主干道路通达工程，配套管网全部入地。</w:t>
      </w:r>
      <w:r>
        <w:rPr>
          <w:rFonts w:ascii="Times New Roman" w:hAnsi="Times New Roman" w:eastAsia="仿宋_GB2312" w:cs="Times New Roman"/>
          <w:kern w:val="0"/>
          <w:sz w:val="32"/>
          <w:szCs w:val="32"/>
        </w:rPr>
        <w:t>统筹整合市政基础设施干线网络，建设干线综合管廊系统，提高市政管网系统整体服务能力和安全水平。</w:t>
      </w:r>
      <w:r>
        <w:rPr>
          <w:rFonts w:hint="eastAsia" w:ascii="Times New Roman" w:hAnsi="Times New Roman" w:eastAsia="仿宋_GB2312" w:cs="Times New Roman"/>
          <w:kern w:val="0"/>
          <w:sz w:val="32"/>
          <w:szCs w:val="32"/>
        </w:rPr>
        <w:t>不断优化城市电网网架，推动主干道路电网逐步由架空单敷设结构向电缆单环网结构过度，有效缩小故障停电范围，保障城市用能需求。</w:t>
      </w:r>
      <w:r>
        <w:rPr>
          <w:rFonts w:ascii="Times New Roman" w:hAnsi="Times New Roman" w:eastAsia="仿宋_GB2312" w:cs="Times New Roman"/>
          <w:color w:val="000000"/>
          <w:sz w:val="32"/>
          <w:szCs w:val="32"/>
        </w:rPr>
        <w:t>加快海绵城市建设，完善城市排水防涝设施，科学布局雨水调蓄设施，增强道路绿化带雨水消纳功能等。加大城镇污水处理设施建设力度，推动城区污水处理厂、城东污水处理厂升级改造，提高污水处理率。推进雨污分流，提高城市排涝能力。</w:t>
      </w:r>
      <w:r>
        <w:rPr>
          <w:rFonts w:ascii="Times New Roman" w:hAnsi="Times New Roman" w:eastAsia="仿宋_GB2312" w:cs="Times New Roman"/>
          <w:kern w:val="0"/>
          <w:sz w:val="32"/>
          <w:szCs w:val="32"/>
        </w:rPr>
        <w:t>推广新型智慧共享杆建设，实现资源的“共享、集约、统筹”。</w:t>
      </w:r>
      <w:r>
        <w:rPr>
          <w:rFonts w:ascii="Times New Roman" w:hAnsi="Times New Roman" w:eastAsia="仿宋_GB2312" w:cs="Times New Roman"/>
          <w:sz w:val="32"/>
          <w:szCs w:val="32"/>
        </w:rPr>
        <w:t>以“干湿分开”为重点，加强垃圾分类全链条管理，加快生活垃圾处理设施建设。高标准实施七社村城中村改造、富氏泓基产业城项目，打造城中村改造样板。积极推进棚户区、老旧小区改造，抓好房屋</w:t>
      </w:r>
      <w:r>
        <w:rPr>
          <w:rFonts w:hint="eastAsia" w:ascii="Times New Roman" w:hAnsi="Times New Roman" w:eastAsia="仿宋_GB2312" w:cs="Times New Roman"/>
          <w:sz w:val="32"/>
          <w:szCs w:val="32"/>
        </w:rPr>
        <w:t>抗震</w:t>
      </w:r>
      <w:r>
        <w:rPr>
          <w:rFonts w:ascii="Times New Roman" w:hAnsi="Times New Roman" w:eastAsia="仿宋_GB2312" w:cs="Times New Roman"/>
          <w:sz w:val="32"/>
          <w:szCs w:val="32"/>
        </w:rPr>
        <w:t>加固、庭院改造、养老服务等，让市民更加幸福，城市更有温度。</w:t>
      </w:r>
    </w:p>
    <w:p>
      <w:pPr>
        <w:widowControl w:val="0"/>
        <w:wordWrap/>
        <w:adjustRightInd/>
        <w:snapToGrid/>
        <w:spacing w:line="660" w:lineRule="exact"/>
        <w:ind w:left="0" w:leftChars="0" w:right="0" w:firstLine="643"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打造城市特色风貌。</w:t>
      </w:r>
      <w:r>
        <w:rPr>
          <w:rFonts w:ascii="Times New Roman" w:hAnsi="Times New Roman" w:eastAsia="仿宋_GB2312" w:cs="Times New Roman"/>
          <w:sz w:val="32"/>
          <w:szCs w:val="32"/>
        </w:rPr>
        <w:t>严格规划管控，持续推进“两下两进两拆”专项整治，高标准打造3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5条示范街巷，呈现</w:t>
      </w:r>
      <w:r>
        <w:rPr>
          <w:rFonts w:hint="eastAsia" w:ascii="Times New Roman" w:hAnsi="Times New Roman" w:eastAsia="仿宋_GB2312" w:cs="Times New Roman"/>
          <w:sz w:val="32"/>
          <w:szCs w:val="32"/>
        </w:rPr>
        <w:t>整洁</w:t>
      </w:r>
      <w:r>
        <w:rPr>
          <w:rFonts w:ascii="Times New Roman" w:hAnsi="Times New Roman" w:eastAsia="仿宋_GB2312" w:cs="Times New Roman"/>
          <w:sz w:val="32"/>
          <w:szCs w:val="32"/>
        </w:rPr>
        <w:t>有序的城市整体风貌。</w:t>
      </w:r>
      <w:r>
        <w:rPr>
          <w:rFonts w:ascii="Times New Roman" w:hAnsi="Times New Roman" w:eastAsia="仿宋_GB2312" w:cs="Times New Roman"/>
          <w:kern w:val="0"/>
          <w:sz w:val="32"/>
          <w:szCs w:val="32"/>
        </w:rPr>
        <w:t>综合考虑我市富有独特魅力的自然与人文空间节点，以城市绿道为串联，打造“两轴三区多节点”城市特色魅力空间体系</w:t>
      </w:r>
      <w:r>
        <w:rPr>
          <w:rFonts w:hint="eastAsia" w:ascii="Times New Roman" w:hAnsi="Times New Roman" w:eastAsia="仿宋_GB2312" w:cs="Times New Roman"/>
          <w:kern w:val="0"/>
          <w:sz w:val="32"/>
          <w:szCs w:val="32"/>
        </w:rPr>
        <w:t>，延续城市历史文脉</w:t>
      </w:r>
      <w:r>
        <w:rPr>
          <w:rFonts w:ascii="Times New Roman" w:hAnsi="Times New Roman" w:eastAsia="仿宋_GB2312" w:cs="Times New Roman"/>
          <w:kern w:val="0"/>
          <w:sz w:val="32"/>
          <w:szCs w:val="32"/>
        </w:rPr>
        <w:t>。通过道路断面优化、沿线建筑控制、街道设施人性化改造、完善过街和无障碍设施、街道景观设计、规范停车行为等措施，修补街道肌理，提升街道环境品质，让街道拥有舒适安全的环境、赏心悦目的景观和生动美好的生活氛围。</w:t>
      </w:r>
      <w:r>
        <w:rPr>
          <w:rFonts w:ascii="Times New Roman" w:hAnsi="Times New Roman" w:eastAsia="仿宋_GB2312" w:cs="Times New Roman"/>
          <w:sz w:val="32"/>
          <w:szCs w:val="32"/>
        </w:rPr>
        <w:t>推动永济城市IP形象设计，增加遮阳伞、凉亭等设施，凸显文化、时尚、温馨、开放的城市形象。</w:t>
      </w:r>
    </w:p>
    <w:p>
      <w:pPr>
        <w:widowControl w:val="0"/>
        <w:wordWrap/>
        <w:adjustRightInd/>
        <w:snapToGrid/>
        <w:spacing w:afterLines="50" w:line="660" w:lineRule="exact"/>
        <w:ind w:left="0" w:leftChars="0" w:right="0" w:firstLine="643" w:firstLineChars="200"/>
        <w:jc w:val="both"/>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打造“城市绿色客厅”。</w:t>
      </w:r>
      <w:r>
        <w:rPr>
          <w:rFonts w:ascii="Times New Roman" w:hAnsi="Times New Roman" w:eastAsia="仿宋_GB2312" w:cs="Times New Roman"/>
          <w:kern w:val="0"/>
          <w:sz w:val="32"/>
          <w:szCs w:val="32"/>
        </w:rPr>
        <w:t>构建“城市级、社区级”两级城市绿网体系，推动森林入城、公园串城，实现500米进公园、2公里进郊野、5公里进森林的目标。结合涑水河、伍姓湖、铁路与舜帝山森林公园打造环城生态绿廊，将绿色生态引入城市，强化城市绿网对周边组团的渗透与融合，引领城市发展。鼓励绿色空间与文化、体育、休闲功能复合利用，完善公园配套服务设施，提升现状公园绿色空间使用体验。加强小微公园建设，充分利用零散地块、闲置地、边角地等空间，通过拆违建绿、见缝插绿，建设一批口袋公园、小微绿地，重塑街区生态环境。</w:t>
      </w:r>
    </w:p>
    <w:p>
      <w:pPr>
        <w:widowControl w:val="0"/>
        <w:wordWrap/>
        <w:adjustRightInd/>
        <w:snapToGrid/>
        <w:spacing w:afterLines="50" w:line="660" w:lineRule="exact"/>
        <w:ind w:left="0" w:leftChars="0" w:right="0" w:firstLine="640" w:firstLineChars="200"/>
        <w:jc w:val="both"/>
        <w:textAlignment w:val="auto"/>
        <w:outlineLvl w:val="9"/>
        <w:rPr>
          <w:rFonts w:ascii="Times New Roman" w:hAnsi="Times New Roman" w:eastAsia="仿宋_GB2312" w:cs="Times New Roman"/>
          <w:kern w:val="0"/>
          <w:sz w:val="32"/>
          <w:szCs w:val="32"/>
        </w:rPr>
      </w:pPr>
    </w:p>
    <w:tbl>
      <w:tblPr>
        <w:tblStyle w:val="19"/>
        <w:tblW w:w="8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800" w:type="dxa"/>
            <w:vAlign w:val="top"/>
          </w:tcPr>
          <w:p>
            <w:pPr>
              <w:jc w:val="both"/>
              <w:rPr>
                <w:rFonts w:ascii="Times New Roman" w:hAnsi="Times New Roman" w:eastAsia="黑体" w:cs="Times New Roman"/>
                <w:sz w:val="32"/>
                <w:szCs w:val="32"/>
              </w:rPr>
            </w:pPr>
            <w:r>
              <w:rPr>
                <w:rFonts w:hint="eastAsia" w:ascii="Times New Roman" w:hAnsi="Times New Roman" w:eastAsia="黑体" w:cs="Times New Roman"/>
                <w:sz w:val="28"/>
                <w:szCs w:val="28"/>
              </w:rPr>
              <w:t>专栏</w:t>
            </w:r>
            <w:r>
              <w:rPr>
                <w:rFonts w:ascii="Times New Roman" w:hAnsi="Times New Roman" w:eastAsia="黑体" w:cs="Times New Roman"/>
                <w:sz w:val="28"/>
                <w:szCs w:val="28"/>
              </w:rPr>
              <w:t>9</w:t>
            </w:r>
            <w:r>
              <w:rPr>
                <w:rFonts w:hint="eastAsia" w:ascii="Times New Roman" w:hAnsi="Times New Roman" w:eastAsia="黑体" w:cs="Times New Roman"/>
                <w:sz w:val="28"/>
                <w:szCs w:val="28"/>
              </w:rPr>
              <w:t>：城市更新和品质提升重大工程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800" w:type="dxa"/>
            <w:vAlign w:val="top"/>
          </w:tcPr>
          <w:p>
            <w:pPr>
              <w:spacing w:beforeLines="50" w:line="360" w:lineRule="exact"/>
              <w:ind w:firstLine="422" w:firstLineChars="200"/>
              <w:jc w:val="both"/>
              <w:rPr>
                <w:rFonts w:ascii="方正小标宋简体" w:hAnsi="方正小标宋简体" w:eastAsia="方正小标宋简体" w:cs="方正小标宋简体"/>
                <w:color w:val="FF0000"/>
                <w:szCs w:val="21"/>
              </w:rPr>
            </w:pPr>
            <w:r>
              <w:rPr>
                <w:rFonts w:hint="eastAsia" w:ascii="方正小标宋简体" w:hAnsi="方正小标宋简体" w:eastAsia="方正小标宋简体" w:cs="方正小标宋简体"/>
                <w:b/>
                <w:szCs w:val="21"/>
              </w:rPr>
              <w:t>环境整治工程。</w:t>
            </w:r>
            <w:r>
              <w:rPr>
                <w:rFonts w:hint="eastAsia" w:ascii="方正小标宋简体" w:hAnsi="方正小标宋简体" w:eastAsia="方正小标宋简体" w:cs="方正小标宋简体"/>
                <w:szCs w:val="21"/>
              </w:rPr>
              <w:t>建制镇生活污水处理设施建设项目、城东污水处理厂升级改造工程、城区污水处理调蓄设施工程、建筑垃圾处置及资源化利用项目等。</w:t>
            </w:r>
          </w:p>
          <w:p>
            <w:pPr>
              <w:spacing w:line="360" w:lineRule="exact"/>
              <w:ind w:firstLine="422" w:firstLineChars="200"/>
              <w:jc w:val="both"/>
              <w:rPr>
                <w:rFonts w:ascii="方正小标宋简体" w:hAnsi="方正小标宋简体" w:eastAsia="方正小标宋简体" w:cs="方正小标宋简体"/>
                <w:color w:val="FF0000"/>
                <w:szCs w:val="21"/>
              </w:rPr>
            </w:pPr>
            <w:r>
              <w:rPr>
                <w:rFonts w:hint="eastAsia" w:ascii="方正小标宋简体" w:hAnsi="方正小标宋简体" w:eastAsia="方正小标宋简体" w:cs="方正小标宋简体"/>
                <w:b/>
                <w:szCs w:val="21"/>
              </w:rPr>
              <w:t>路网畅通工程。</w:t>
            </w:r>
            <w:r>
              <w:rPr>
                <w:rFonts w:hint="eastAsia" w:ascii="方正小标宋简体" w:hAnsi="方正小标宋简体" w:eastAsia="方正小标宋简体" w:cs="方正小标宋简体"/>
                <w:szCs w:val="21"/>
              </w:rPr>
              <w:t>城市支路建设工程、酒厂路拓宽改造工程、城区人行道铺装硬化提升工程、永济市体育中心周边城市环路建设、中山街道路复铺改造工程、黄河大道拓宽改造工程、黄河大道铁路立交桥改造、西厢路道路提升改造工程、市府街提升改造工程、市府西街西延道路建设工程、银杏街提升改造工程、东丰路铁路立交桥改造、涑水西街提升改造工程、柳园西路道路建设工程、康乐路北延、振兴西街人行道改造等。</w:t>
            </w:r>
          </w:p>
          <w:p>
            <w:pPr>
              <w:spacing w:line="360" w:lineRule="exact"/>
              <w:ind w:firstLine="422" w:firstLineChars="200"/>
              <w:jc w:val="both"/>
              <w:rPr>
                <w:rFonts w:ascii="方正小标宋简体" w:hAnsi="方正小标宋简体" w:eastAsia="方正小标宋简体" w:cs="方正小标宋简体"/>
                <w:color w:val="FF0000"/>
                <w:szCs w:val="21"/>
              </w:rPr>
            </w:pPr>
            <w:r>
              <w:rPr>
                <w:rFonts w:hint="eastAsia" w:ascii="方正小标宋简体" w:hAnsi="方正小标宋简体" w:eastAsia="方正小标宋简体" w:cs="方正小标宋简体"/>
                <w:b/>
                <w:szCs w:val="21"/>
              </w:rPr>
              <w:t>老旧小区改造工程。</w:t>
            </w:r>
            <w:r>
              <w:rPr>
                <w:rFonts w:hint="eastAsia" w:ascii="方正小标宋简体" w:hAnsi="方正小标宋简体" w:eastAsia="方正小标宋简体" w:cs="方正小标宋简体"/>
                <w:szCs w:val="21"/>
              </w:rPr>
              <w:t>“三线入地”工程、充换电站项目、电梯安装、停车场建设项目、供热新扩建和旧网改造项目等。</w:t>
            </w:r>
          </w:p>
          <w:p>
            <w:pPr>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“城市客厅”打造工程。</w:t>
            </w:r>
            <w:r>
              <w:rPr>
                <w:rFonts w:hint="eastAsia" w:ascii="方正小标宋简体" w:hAnsi="方正小标宋简体" w:eastAsia="方正小标宋简体" w:cs="方正小标宋简体"/>
                <w:szCs w:val="21"/>
              </w:rPr>
              <w:t>城区绿化提升工程、市府街和银杏街亮化提升工程、滨河公园东西扩工程、舜风唐韵立面改造、特色街打造等。</w:t>
            </w:r>
          </w:p>
          <w:p>
            <w:pPr>
              <w:spacing w:afterLines="50" w:line="360" w:lineRule="exact"/>
              <w:ind w:firstLine="422" w:firstLineChars="200"/>
              <w:jc w:val="both"/>
              <w:rPr>
                <w:rFonts w:ascii="Times New Roman" w:hAnsi="Times New Roman" w:cs="Times New Roman"/>
              </w:rPr>
            </w:pPr>
            <w:r>
              <w:rPr>
                <w:rFonts w:hint="eastAsia" w:ascii="方正小标宋简体" w:hAnsi="方正小标宋简体" w:eastAsia="方正小标宋简体" w:cs="方正小标宋简体"/>
                <w:b/>
                <w:szCs w:val="21"/>
              </w:rPr>
              <w:t>文明城市创建工程。</w:t>
            </w:r>
            <w:r>
              <w:rPr>
                <w:rFonts w:hint="eastAsia" w:ascii="方正小标宋简体" w:hAnsi="方正小标宋简体" w:eastAsia="方正小标宋简体" w:cs="方正小标宋简体"/>
                <w:szCs w:val="21"/>
              </w:rPr>
              <w:t>城区厕所改扩建项目、城市天然气扩容项目、城区和镇（街）垃圾分类箱建设项目、城区街道路灯改造项目、清洁能源城市既有建筑节能改造三期四期、富强街中段路灯安装工程、体育中心10KV高压线路工程、市政务服务中心及人防工程建设项目、战时人民防空指挥所等。</w:t>
            </w:r>
          </w:p>
        </w:tc>
      </w:tr>
    </w:tbl>
    <w:p>
      <w:pPr>
        <w:pStyle w:val="17"/>
        <w:spacing w:beforeLines="50" w:afterLines="50"/>
        <w:ind w:firstLine="0"/>
        <w:jc w:val="center"/>
        <w:outlineLvl w:val="1"/>
        <w:rPr>
          <w:rFonts w:ascii="Times New Roman" w:hAnsi="Times New Roman" w:eastAsia="楷体_GB2312"/>
          <w:kern w:val="0"/>
          <w:sz w:val="32"/>
          <w:szCs w:val="32"/>
          <w:lang w:bidi="en-US"/>
        </w:rPr>
      </w:pPr>
      <w:bookmarkStart w:id="77" w:name="_Toc68253256"/>
      <w:r>
        <w:rPr>
          <w:rFonts w:ascii="Times New Roman" w:hAnsi="Times New Roman" w:eastAsia="楷体_GB2312"/>
          <w:kern w:val="0"/>
          <w:sz w:val="32"/>
          <w:szCs w:val="32"/>
          <w:lang w:bidi="en-US"/>
        </w:rPr>
        <w:t>第三节  推进城市治理现代化</w:t>
      </w:r>
      <w:bookmarkEnd w:id="77"/>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顺应现代城市发展趋势，深化城市现代治理，抓住城市管理的关键环节和突出矛盾，推进城市管理精细化，实现城市管理智能化，体现城市管理人性化，不断提升城市的软实力和综合竞争力。</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推动城市管理精细化。</w:t>
      </w:r>
      <w:r>
        <w:rPr>
          <w:rFonts w:ascii="Times New Roman" w:hAnsi="Times New Roman" w:eastAsia="仿宋_GB2312" w:cs="Times New Roman"/>
          <w:sz w:val="32"/>
          <w:szCs w:val="32"/>
        </w:rPr>
        <w:t>深化城市综合执法体制改革，加快推进城市管理领域综合执法，提高执法效率，变末端执法为源头治理，变被动管理为主动服务，逐步构建权责明晰、服务为先、管理优化、执法规范、安全有序的城市管理体制。加快构建覆盖城乡、功能齐全、一体联动的网格化服务管理工作体系，建立城市管理基础数据普查更新机制，适度扩展网格化管理事项，加快组建与城市管理相适应的城管监督员队伍。完善网格化管理发现问题处置机制，加强城市管理相关单位和公共服务企业与网格化城市管理体系的协调和对接，提高问题处置效率。加快制度创新、流程优化再造，推动管理目标量化、管理标准细化、管理效能强化。</w:t>
      </w:r>
      <w:r>
        <w:rPr>
          <w:rFonts w:hint="eastAsia" w:ascii="Times New Roman" w:hAnsi="Times New Roman" w:eastAsia="仿宋_GB2312" w:cs="Times New Roman"/>
          <w:sz w:val="32"/>
          <w:szCs w:val="32"/>
        </w:rPr>
        <w:t>同时，</w:t>
      </w:r>
      <w:r>
        <w:rPr>
          <w:rFonts w:hint="eastAsia" w:ascii="仿宋_GB2312" w:hAnsi="仿宋_GB2312" w:eastAsia="仿宋_GB2312" w:cs="仿宋_GB2312"/>
          <w:sz w:val="32"/>
          <w:szCs w:val="32"/>
        </w:rPr>
        <w:t>把“浪漫、温情、诗意”永济独特的文化元素融入城市规划、建设、管理，不断丰富永济城市内涵。</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推动城市管理智能化。</w:t>
      </w:r>
      <w:r>
        <w:rPr>
          <w:rFonts w:ascii="Times New Roman" w:hAnsi="Times New Roman" w:eastAsia="仿宋_GB2312" w:cs="Times New Roman"/>
          <w:sz w:val="32"/>
          <w:szCs w:val="32"/>
        </w:rPr>
        <w:t>加快新型智慧城市建设，充分发挥数字城管平台作用，实现感知、分析、服务、指挥、监察“五位一体”，有效提高城市管理水平。以数字政府建设为牵引，带动智慧出行、智慧医疗、智慧生活、基层政务、社区治理、公共安全等领域数字化、智能化，推动社区资金、物流、能源、商业等资源要素优化配置，大幅提升城市科学精细化治理水平和社区高效便捷化服务能级。</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推进城市管理人性化。</w:t>
      </w:r>
      <w:r>
        <w:rPr>
          <w:rFonts w:ascii="Times New Roman" w:hAnsi="Times New Roman" w:eastAsia="仿宋_GB2312" w:cs="Times New Roman"/>
          <w:sz w:val="32"/>
          <w:szCs w:val="32"/>
        </w:rPr>
        <w:t>积极开展全龄社区建设，探索打造适宜居家养老、儿童友好社区，不断完善残疾人无障碍设施，打造更易识别的交通标识系统，体现以人为本的城市“温度”。</w:t>
      </w:r>
      <w:r>
        <w:rPr>
          <w:rFonts w:ascii="Times New Roman" w:hAnsi="Times New Roman" w:eastAsia="仿宋_GB2312" w:cs="Times New Roman"/>
          <w:kern w:val="0"/>
          <w:sz w:val="32"/>
          <w:szCs w:val="32"/>
        </w:rPr>
        <w:t>构建“城市级-组团级-社区-邻里-街坊”五级公共服务设施体系，优化医疗卫生、教育、养老托育、文旅体育、社会福利和社区综合服务设施，提升公共服务的便利性、普惠性、可及性，推进基本公共服务常住人口全覆盖。鼓励开发区结合提质更新，面向创新产业集群、高端服务业人才需求，配置一定比例特色化、高品质公共服务设施。</w:t>
      </w:r>
    </w:p>
    <w:p>
      <w:pPr>
        <w:jc w:val="both"/>
        <w:rPr>
          <w:rFonts w:ascii="Times New Roman" w:hAnsi="Times New Roman" w:cs="Times New Roman"/>
        </w:rPr>
      </w:pPr>
      <w:r>
        <w:rPr>
          <w:rFonts w:ascii="Times New Roman" w:hAnsi="Times New Roman" w:cs="Times New Roman"/>
        </w:rPr>
        <w:br w:type="page"/>
      </w:r>
    </w:p>
    <w:p>
      <w:pPr>
        <w:spacing w:beforeLines="100" w:afterLines="100"/>
        <w:jc w:val="center"/>
        <w:outlineLvl w:val="0"/>
        <w:rPr>
          <w:rFonts w:ascii="Times New Roman" w:hAnsi="Times New Roman" w:eastAsia="黑体" w:cs="Times New Roman"/>
          <w:sz w:val="32"/>
          <w:szCs w:val="32"/>
        </w:rPr>
      </w:pPr>
      <w:bookmarkStart w:id="78" w:name="_Toc68253257"/>
      <w:r>
        <w:rPr>
          <w:rFonts w:ascii="Times New Roman" w:hAnsi="Times New Roman" w:eastAsia="黑体" w:cs="Times New Roman"/>
          <w:sz w:val="32"/>
          <w:szCs w:val="32"/>
        </w:rPr>
        <w:t>第</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章  厚植绿色发展底蕴，</w:t>
      </w:r>
      <w:r>
        <w:rPr>
          <w:rFonts w:hint="eastAsia" w:ascii="Times New Roman" w:hAnsi="Times New Roman" w:eastAsia="黑体" w:cs="Times New Roman"/>
          <w:sz w:val="32"/>
          <w:szCs w:val="32"/>
        </w:rPr>
        <w:t>创建国家</w:t>
      </w:r>
      <w:r>
        <w:rPr>
          <w:rFonts w:ascii="Times New Roman" w:hAnsi="Times New Roman" w:eastAsia="黑体" w:cs="Times New Roman"/>
          <w:sz w:val="32"/>
          <w:szCs w:val="32"/>
        </w:rPr>
        <w:t>生态文明</w:t>
      </w:r>
      <w:r>
        <w:rPr>
          <w:rFonts w:hint="eastAsia" w:ascii="Times New Roman" w:hAnsi="Times New Roman" w:eastAsia="黑体" w:cs="Times New Roman"/>
          <w:sz w:val="32"/>
          <w:szCs w:val="32"/>
        </w:rPr>
        <w:t>建设</w:t>
      </w:r>
      <w:r>
        <w:rPr>
          <w:rFonts w:ascii="Times New Roman" w:hAnsi="Times New Roman" w:eastAsia="黑体" w:cs="Times New Roman"/>
          <w:sz w:val="32"/>
          <w:szCs w:val="32"/>
        </w:rPr>
        <w:t>示范区</w:t>
      </w:r>
      <w:bookmarkEnd w:id="78"/>
    </w:p>
    <w:p>
      <w:pPr>
        <w:spacing w:line="58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牢固树立“绿水青山就是金山银山”理念，坚持山水林田湖草一体治理、统筹推进，</w:t>
      </w:r>
      <w:r>
        <w:rPr>
          <w:rFonts w:ascii="Times New Roman" w:hAnsi="Times New Roman" w:eastAsia="仿宋_GB2312" w:cs="Times New Roman"/>
          <w:kern w:val="0"/>
          <w:sz w:val="32"/>
          <w:szCs w:val="32"/>
        </w:rPr>
        <w:t>建立区域合作共赢的生态环境治理体系，实现人与自然协调发展</w:t>
      </w:r>
      <w:r>
        <w:rPr>
          <w:rFonts w:hint="eastAsia" w:ascii="Times New Roman" w:hAnsi="Times New Roman" w:eastAsia="仿宋_GB2312" w:cs="Times New Roman"/>
          <w:kern w:val="0"/>
          <w:sz w:val="32"/>
          <w:szCs w:val="32"/>
        </w:rPr>
        <w:t>，让良好的生态环境成为永济人民高品质生活的骄傲和自豪。</w:t>
      </w:r>
    </w:p>
    <w:p>
      <w:pPr>
        <w:pStyle w:val="17"/>
        <w:spacing w:beforeLines="50" w:afterLines="50"/>
        <w:ind w:firstLine="0"/>
        <w:jc w:val="both"/>
        <w:outlineLvl w:val="1"/>
        <w:rPr>
          <w:rFonts w:ascii="Times New Roman" w:hAnsi="Times New Roman" w:eastAsia="楷体_GB2312"/>
          <w:kern w:val="0"/>
          <w:sz w:val="32"/>
          <w:szCs w:val="32"/>
          <w:lang w:bidi="en-US"/>
        </w:rPr>
      </w:pPr>
      <w:bookmarkStart w:id="79" w:name="_Toc68253258"/>
      <w:r>
        <w:rPr>
          <w:rFonts w:ascii="Times New Roman" w:hAnsi="Times New Roman" w:eastAsia="楷体_GB2312"/>
          <w:kern w:val="0"/>
          <w:sz w:val="32"/>
          <w:szCs w:val="32"/>
          <w:lang w:bidi="en-US"/>
        </w:rPr>
        <w:t>第一节  加强黄河流域生态保护</w:t>
      </w:r>
      <w:bookmarkEnd w:id="79"/>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坚持节约优先、保护优先，以黄河流域生态保护为主题主线，统筹推进保护、治理、修复、建设各项工作，建立点、线、面有机结合、城乡融合、功能良好的区域生态系统。</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构建生态保护新格局。</w:t>
      </w:r>
      <w:r>
        <w:rPr>
          <w:rFonts w:ascii="Times New Roman" w:hAnsi="Times New Roman" w:eastAsia="仿宋_GB2312" w:cs="Times New Roman"/>
          <w:kern w:val="0"/>
          <w:sz w:val="32"/>
          <w:szCs w:val="32"/>
        </w:rPr>
        <w:t>以山体为屏障，以水系为脉络，以基础设施廊道为补充，重点突出生态保护红线板块，形成沿中条山与黄河生态为主要保育带，以伍姓湖、中条山、蒲州古城遗址公园为三个生态绿核，</w:t>
      </w:r>
      <w:r>
        <w:rPr>
          <w:rFonts w:hint="eastAsia" w:ascii="Times New Roman" w:hAnsi="Times New Roman" w:eastAsia="仿宋_GB2312" w:cs="Times New Roman"/>
          <w:kern w:val="0"/>
          <w:sz w:val="32"/>
          <w:szCs w:val="32"/>
        </w:rPr>
        <w:t>划定伍姓湖、中条山、黄河（永济段）三大生态保护集中区，加快“七纵三横”主要交通干线绿色廊道建设，形成“一带三核、三区多廊”生态保护格局。</w:t>
      </w:r>
      <w:r>
        <w:rPr>
          <w:rFonts w:ascii="Times New Roman" w:hAnsi="Times New Roman" w:eastAsia="仿宋_GB2312" w:cs="Times New Roman"/>
          <w:kern w:val="0"/>
          <w:sz w:val="32"/>
          <w:szCs w:val="32"/>
        </w:rPr>
        <w:t>科学划定黄河、伍姓湖与中条山生态特别保护区范围，核心区域内实行强制性保护措施，全面禁止与生态无关的建设行为，不断增强土壤保持、水源涵养和生物多样性保护等功能。对各类水源涵养保护区、水土保持保护区、生物多样性保护区实施分类保护。加强沿黄公路路段沟坡立面整治和生态保护。</w:t>
      </w:r>
    </w:p>
    <w:p>
      <w:pPr>
        <w:spacing w:afterLines="50"/>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加强水资源平衡和水生态保护。</w:t>
      </w:r>
      <w:r>
        <w:rPr>
          <w:rFonts w:ascii="Times New Roman" w:hAnsi="Times New Roman" w:eastAsia="仿宋_GB2312" w:cs="Times New Roman"/>
          <w:kern w:val="0"/>
          <w:sz w:val="32"/>
          <w:szCs w:val="32"/>
        </w:rPr>
        <w:t>坚持区域协作、统筹兼顾、系统治理，根据黄河流域水土资源的空间分布，增强水资源调配能力，实现流域内水资源的合理开发利用。加强与沿黄市县合作，开展生态廊道建设，推动生态修复，确保生态安全。全面推进黄土高原水土流失综合治理，完善黄河干支流水沙调控体系，合力解决黄河流域生态系统退化、水源涵养功能弱化、水土流失严重、湿地萎缩、生态流量偏低等问题。以小流域治理为重点，因地制宜，因害设防，全力建设水土保持示范区。对涑水河、湾湾河、姚暹渠、排水总干等河流渠道以及沿山泄洪沟道进行综合治理，防控水环境风险，保障水质稳定达标，提高防洪标准和保障能力。</w:t>
      </w:r>
    </w:p>
    <w:tbl>
      <w:tblPr>
        <w:tblStyle w:val="1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vAlign w:val="top"/>
          </w:tcPr>
          <w:p>
            <w:pPr>
              <w:jc w:val="both"/>
              <w:rPr>
                <w:rFonts w:ascii="Times New Roman" w:hAnsi="Times New Roman" w:eastAsia="楷体_GB2312" w:cs="Times New Roman"/>
                <w:sz w:val="32"/>
                <w:szCs w:val="32"/>
              </w:rPr>
            </w:pPr>
            <w:r>
              <w:rPr>
                <w:rFonts w:hint="eastAsia" w:ascii="Times New Roman" w:hAnsi="Times New Roman" w:eastAsia="黑体" w:cs="Times New Roman"/>
                <w:sz w:val="28"/>
                <w:szCs w:val="28"/>
              </w:rPr>
              <w:t>专栏1</w:t>
            </w:r>
            <w:r>
              <w:rPr>
                <w:rFonts w:ascii="Times New Roman" w:hAnsi="Times New Roman" w:eastAsia="黑体" w:cs="Times New Roman"/>
                <w:sz w:val="28"/>
                <w:szCs w:val="28"/>
              </w:rPr>
              <w:t>0</w:t>
            </w:r>
            <w:r>
              <w:rPr>
                <w:rFonts w:hint="eastAsia" w:ascii="Times New Roman" w:hAnsi="Times New Roman" w:eastAsia="黑体" w:cs="Times New Roman"/>
                <w:sz w:val="28"/>
                <w:szCs w:val="28"/>
              </w:rPr>
              <w:t>：“十四五”水资源平衡和水生态保护重大工程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vAlign w:val="top"/>
          </w:tcPr>
          <w:p>
            <w:pPr>
              <w:adjustRightInd w:val="0"/>
              <w:snapToGrid w:val="0"/>
              <w:spacing w:beforeLines="50"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河湖治理工程。</w:t>
            </w:r>
            <w:r>
              <w:rPr>
                <w:rFonts w:hint="eastAsia" w:ascii="方正小标宋简体" w:hAnsi="方正小标宋简体" w:eastAsia="方正小标宋简体" w:cs="方正小标宋简体"/>
              </w:rPr>
              <w:t>伍姓湖清淤治理生态修复工程、涑水河伍姓湖以下段生态综合治理项目、湾湾河综合治理项目、涑水河入黄口人工湿地提升项目、姚暹渠与排水总干综合治理工程、智慧河道项目、伍姓湖水生态修复工程建设项目、伍姓湖岸坡与湿地生态修复工程建设项目、伍姓湖入湖口水生态治理人工湿地二期建设项目、伍姓湖粉煤灰堆生态修复治理工程建设项目、伍姓湖生态文化景观工程建设项目、涑水河通湖限制渠整治工程建设项目、伍姓湖防洪生态恢复工程建设项目、伍姓湖湖岸综合整治工程建设项目、伍姓湖生物多样性保护工程建设项目等、永济市涑水河入黄口水生态修复工程。</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水旱灾害防御工程。</w:t>
            </w:r>
            <w:r>
              <w:rPr>
                <w:rFonts w:hint="eastAsia" w:ascii="方正小标宋简体" w:hAnsi="方正小标宋简体" w:eastAsia="方正小标宋简体" w:cs="方正小标宋简体"/>
              </w:rPr>
              <w:t>水峪口沟道中段治理工程建设项目、黄河舜帝坝除险加固项目、沿山沟道整治项目、沿山塘坝除险加固项目等。</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水土流失治理工程。</w:t>
            </w:r>
            <w:r>
              <w:rPr>
                <w:rFonts w:hint="eastAsia" w:ascii="方正小标宋简体" w:hAnsi="方正小标宋简体" w:eastAsia="方正小标宋简体" w:cs="方正小标宋简体"/>
              </w:rPr>
              <w:t>沿河沟壑区水土流失治理项目、峨嵋岭台地小流域治理项目、涑水河流域治理项目、沿黄沟壑综合治理工程等。</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水资源保护工程。</w:t>
            </w:r>
            <w:r>
              <w:rPr>
                <w:rFonts w:hint="eastAsia" w:ascii="方正小标宋简体" w:hAnsi="方正小标宋简体" w:eastAsia="方正小标宋简体" w:cs="方正小标宋简体"/>
              </w:rPr>
              <w:t>条山干渠东片水源置换工程、地下水资源动态监测项目等。</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农村饮水安全工程。</w:t>
            </w:r>
            <w:r>
              <w:rPr>
                <w:rFonts w:hint="eastAsia" w:ascii="方正小标宋简体" w:hAnsi="方正小标宋简体" w:eastAsia="方正小标宋简体" w:cs="方正小标宋简体"/>
              </w:rPr>
              <w:t>农村饮水安全巩固提升项目等。</w:t>
            </w:r>
          </w:p>
          <w:p>
            <w:pPr>
              <w:adjustRightInd w:val="0"/>
              <w:snapToGrid w:val="0"/>
              <w:spacing w:afterLines="50"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节水型社会建设工程。</w:t>
            </w:r>
            <w:r>
              <w:rPr>
                <w:rFonts w:hint="eastAsia" w:ascii="方正小标宋简体" w:hAnsi="方正小标宋简体" w:eastAsia="方正小标宋简体" w:cs="方正小标宋简体"/>
              </w:rPr>
              <w:t>节水教育实践基地建设、节水型企业和灌区建设项目、智慧水务综合信息管理系统等。</w:t>
            </w:r>
          </w:p>
        </w:tc>
      </w:tr>
    </w:tbl>
    <w:p>
      <w:pPr>
        <w:spacing w:beforeLines="50" w:afterLines="50"/>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创建国家森林城市。</w:t>
      </w:r>
      <w:r>
        <w:rPr>
          <w:rFonts w:ascii="Times New Roman" w:hAnsi="Times New Roman" w:eastAsia="仿宋_GB2312" w:cs="Times New Roman"/>
          <w:kern w:val="0"/>
          <w:sz w:val="32"/>
          <w:szCs w:val="32"/>
        </w:rPr>
        <w:t>严格规划管控，打破行政界限，打造以涵养水源为主的南部生态公益林建设区、以水土保持为主的西部生态公益林建设区、以发展经济林为主的东北部商品林建设区，形成布局合理、特色鲜明、功能互补、相得益彰的林业发展格局。围绕打造东西精品生态循环圈的目标，抓好园林村、通道绿化、荒山绿化等重点绿化工程。围绕“一山一湖两河一流域”，高标准建设大西高铁引道和沿黄一号旅游公路两条彩色廊道。“十四五”期间，全市每年造林面积达到1.8万亩以上，森林覆盖率每年增加0.2个百分点。</w:t>
      </w:r>
    </w:p>
    <w:tbl>
      <w:tblPr>
        <w:tblStyle w:val="19"/>
        <w:tblW w:w="8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880" w:type="dxa"/>
            <w:vAlign w:val="top"/>
          </w:tcPr>
          <w:p>
            <w:pPr>
              <w:jc w:val="both"/>
              <w:rPr>
                <w:rFonts w:ascii="Times New Roman" w:hAnsi="Times New Roman" w:eastAsia="楷体_GB2312" w:cs="Times New Roman"/>
                <w:sz w:val="32"/>
                <w:szCs w:val="32"/>
              </w:rPr>
            </w:pPr>
            <w:r>
              <w:rPr>
                <w:rFonts w:hint="eastAsia" w:ascii="Times New Roman" w:hAnsi="Times New Roman" w:eastAsia="黑体" w:cs="Times New Roman"/>
                <w:sz w:val="28"/>
                <w:szCs w:val="28"/>
              </w:rPr>
              <w:t>专栏</w:t>
            </w:r>
            <w:r>
              <w:rPr>
                <w:rFonts w:ascii="Times New Roman" w:hAnsi="Times New Roman" w:eastAsia="黑体" w:cs="Times New Roman"/>
                <w:sz w:val="28"/>
                <w:szCs w:val="28"/>
              </w:rPr>
              <w:t>11</w:t>
            </w:r>
            <w:r>
              <w:rPr>
                <w:rFonts w:hint="eastAsia" w:ascii="Times New Roman" w:hAnsi="Times New Roman" w:eastAsia="黑体" w:cs="Times New Roman"/>
                <w:sz w:val="28"/>
                <w:szCs w:val="28"/>
              </w:rPr>
              <w:t>：“十四五”林业重大工程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8880" w:type="dxa"/>
            <w:vAlign w:val="top"/>
          </w:tcPr>
          <w:p>
            <w:pPr>
              <w:adjustRightInd w:val="0"/>
              <w:snapToGrid w:val="0"/>
              <w:spacing w:beforeLines="50"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天然林保护工程。</w:t>
            </w:r>
            <w:r>
              <w:rPr>
                <w:rFonts w:hint="eastAsia" w:ascii="方正小标宋简体" w:hAnsi="方正小标宋简体" w:eastAsia="方正小标宋简体" w:cs="方正小标宋简体"/>
              </w:rPr>
              <w:t>“十四五”期间，继续对现有的森林资源进行管护，总规模31.42万亩，其中地方公益林23.87万亩，国家级公益林7.55万亩；在中条山区重要区域实施封山育林0.5万亩，每年完成0.1万亩任务；实施人工造林0.5万亩，每年完成0.1万亩。</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通道绿化工程。</w:t>
            </w:r>
            <w:r>
              <w:rPr>
                <w:rFonts w:hint="eastAsia" w:ascii="方正小标宋简体" w:hAnsi="方正小标宋简体" w:eastAsia="方正小标宋简体" w:cs="方正小标宋简体"/>
              </w:rPr>
              <w:t>2021年对18.6公里高铁引道及沿黄旅游路进行高标准绿化，2022年对我市的县级道路张栲线、文张路进行更新绿化，2023年开始对其他骨干道路进行绿化提升。</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荒山绿化工程。</w:t>
            </w:r>
            <w:r>
              <w:rPr>
                <w:rFonts w:hint="eastAsia" w:ascii="方正小标宋简体" w:hAnsi="方正小标宋简体" w:eastAsia="方正小标宋简体" w:cs="方正小标宋简体"/>
              </w:rPr>
              <w:t>规划总规模3万亩，每年造林0.6万亩。到2025年，基本实现荒山绿化全覆盖。</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黄河滩涂防护林带建设工程。</w:t>
            </w:r>
            <w:r>
              <w:rPr>
                <w:rFonts w:hint="eastAsia" w:ascii="方正小标宋简体" w:hAnsi="方正小标宋简体" w:eastAsia="方正小标宋简体" w:cs="方正小标宋简体"/>
              </w:rPr>
              <w:t>规划总规模0.2万亩，主要对河堤坝背水面河务部门管辖区域内已建成的防护林带缺损部分进行重新造林，完善防护林体系。</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村庄绿化工程。</w:t>
            </w:r>
            <w:r>
              <w:rPr>
                <w:rFonts w:hint="eastAsia" w:ascii="方正小标宋简体" w:hAnsi="方正小标宋简体" w:eastAsia="方正小标宋简体" w:cs="方正小标宋简体"/>
              </w:rPr>
              <w:t>规划实施村庄绿化100个，每年指导镇（街）完成20个，5年实现村庄绿化全覆盖。</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干果经济林工程。</w:t>
            </w:r>
            <w:r>
              <w:rPr>
                <w:rFonts w:hint="eastAsia" w:ascii="方正小标宋简体" w:hAnsi="方正小标宋简体" w:eastAsia="方正小标宋简体" w:cs="方正小标宋简体"/>
              </w:rPr>
              <w:t>总规模2.5万亩，“十四五”期间每年建设0.5万亩。</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干果经济林提质增效工程。</w:t>
            </w:r>
            <w:r>
              <w:rPr>
                <w:rFonts w:hint="eastAsia" w:ascii="方正小标宋简体" w:hAnsi="方正小标宋简体" w:eastAsia="方正小标宋简体" w:cs="方正小标宋简体"/>
              </w:rPr>
              <w:t xml:space="preserve">新建设施大棚覆盖1万亩，实现枣树高产优质高效。对2万亩经济林进行提质增效，实现高产优质高效的目的。 </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种苗花卉基地建设工程。</w:t>
            </w:r>
            <w:r>
              <w:rPr>
                <w:rFonts w:hint="eastAsia" w:ascii="方正小标宋简体" w:hAnsi="方正小标宋简体" w:eastAsia="方正小标宋简体" w:cs="方正小标宋简体"/>
              </w:rPr>
              <w:t>繁育良种香花槐0.05万亩，扩大香花槐的繁育规模。</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永济市古稀树木保护项目。</w:t>
            </w:r>
            <w:r>
              <w:rPr>
                <w:rFonts w:hint="eastAsia" w:ascii="方正小标宋简体" w:hAnsi="方正小标宋简体" w:eastAsia="方正小标宋简体" w:cs="方正小标宋简体"/>
              </w:rPr>
              <w:t>每年保护20株。</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优势草种基地繁育项目。</w:t>
            </w:r>
            <w:r>
              <w:rPr>
                <w:rFonts w:hint="eastAsia" w:ascii="方正小标宋简体" w:hAnsi="方正小标宋简体" w:eastAsia="方正小标宋简体" w:cs="方正小标宋简体"/>
              </w:rPr>
              <w:t>集中连片区域新建1000亩本土草种繁育基地，构建晋南育繁推一体化的现代生态草种产业体系。</w:t>
            </w:r>
          </w:p>
          <w:p>
            <w:pPr>
              <w:adjustRightInd w:val="0"/>
              <w:snapToGrid w:val="0"/>
              <w:spacing w:line="360" w:lineRule="exact"/>
              <w:ind w:firstLine="422" w:firstLineChars="200"/>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b/>
              </w:rPr>
              <w:t>森林防火基础设施建设项目。</w:t>
            </w:r>
            <w:r>
              <w:rPr>
                <w:rFonts w:hint="eastAsia" w:ascii="方正小标宋简体" w:hAnsi="方正小标宋简体" w:eastAsia="方正小标宋简体" w:cs="方正小标宋简体"/>
              </w:rPr>
              <w:t>含储备防火物资、扩建森林消防队伍、通讯设备提升等。</w:t>
            </w:r>
          </w:p>
          <w:p>
            <w:pPr>
              <w:adjustRightInd w:val="0"/>
              <w:snapToGrid w:val="0"/>
              <w:spacing w:afterLines="50" w:line="360" w:lineRule="exact"/>
              <w:ind w:firstLine="422" w:firstLineChars="200"/>
              <w:jc w:val="both"/>
            </w:pPr>
            <w:r>
              <w:rPr>
                <w:rFonts w:hint="eastAsia" w:ascii="方正小标宋简体" w:hAnsi="方正小标宋简体" w:eastAsia="方正小标宋简体" w:cs="方正小标宋简体"/>
                <w:b/>
              </w:rPr>
              <w:t>湿地保护和修复工程。</w:t>
            </w:r>
            <w:r>
              <w:rPr>
                <w:rFonts w:hint="eastAsia" w:ascii="方正小标宋简体" w:hAnsi="方正小标宋简体" w:eastAsia="方正小标宋简体" w:cs="方正小标宋简体"/>
              </w:rPr>
              <w:t>打造中国北方湿地科普研学教育基地，建设高标准湿地保护区鸟类栖息地1处，设立高标准野生动物救护收容所1处，建设野生动植物资源保护专业科研机构，打造伍姓湖国家湿地示范区。</w:t>
            </w:r>
          </w:p>
        </w:tc>
      </w:tr>
    </w:tbl>
    <w:p>
      <w:pPr>
        <w:pStyle w:val="17"/>
        <w:spacing w:beforeLines="50" w:afterLines="50"/>
        <w:ind w:firstLine="0"/>
        <w:jc w:val="center"/>
        <w:outlineLvl w:val="1"/>
        <w:rPr>
          <w:rFonts w:ascii="Times New Roman" w:hAnsi="Times New Roman" w:eastAsia="楷体_GB2312"/>
          <w:kern w:val="0"/>
          <w:sz w:val="32"/>
          <w:szCs w:val="32"/>
          <w:lang w:bidi="en-US"/>
        </w:rPr>
      </w:pPr>
      <w:bookmarkStart w:id="80" w:name="_Toc68253259"/>
      <w:r>
        <w:rPr>
          <w:rFonts w:ascii="Times New Roman" w:hAnsi="Times New Roman" w:eastAsia="楷体_GB2312"/>
          <w:kern w:val="0"/>
          <w:sz w:val="32"/>
          <w:szCs w:val="32"/>
          <w:lang w:bidi="en-US"/>
        </w:rPr>
        <w:t xml:space="preserve">第二节  </w:t>
      </w:r>
      <w:r>
        <w:rPr>
          <w:rFonts w:hint="eastAsia" w:ascii="Times New Roman" w:hAnsi="Times New Roman" w:eastAsia="楷体_GB2312"/>
          <w:kern w:val="0"/>
          <w:sz w:val="32"/>
          <w:szCs w:val="32"/>
          <w:lang w:bidi="en-US"/>
        </w:rPr>
        <w:t>加强</w:t>
      </w:r>
      <w:r>
        <w:rPr>
          <w:rFonts w:ascii="Times New Roman" w:hAnsi="Times New Roman" w:eastAsia="楷体_GB2312"/>
          <w:kern w:val="0"/>
          <w:sz w:val="32"/>
          <w:szCs w:val="32"/>
          <w:lang w:bidi="en-US"/>
        </w:rPr>
        <w:t>伍姓湖修复治理</w:t>
      </w:r>
      <w:bookmarkEnd w:id="80"/>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紧扣“生态保护+综合治理”主题，以水安全保障、水资源利用、水生态稳定、水环境优美、水文化传承为基础，按照系统治理的思路，统筹推进水生态治理、湿地环境改善、文化休闲植入，协同伍姓湖上下游水域的保护与利用，实施好伍姓湖岸坡与湿地生态修复治理、伍姓湖入湖口人工湿地二期等重点项目，打造三晋碧水源、鸟类栖息地、伍姓文化休闲旅游胜地，建设黄河中下游独具特色的湿地生态示范区。</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kern w:val="0"/>
          <w:sz w:val="32"/>
          <w:szCs w:val="32"/>
        </w:rPr>
        <w:t>加强水安全保障。</w:t>
      </w:r>
      <w:r>
        <w:rPr>
          <w:rFonts w:ascii="Times New Roman" w:hAnsi="Times New Roman" w:eastAsia="仿宋_GB2312" w:cs="Times New Roman"/>
          <w:kern w:val="0"/>
          <w:sz w:val="32"/>
          <w:szCs w:val="32"/>
        </w:rPr>
        <w:t>严格落实河长、湖长责任制，</w:t>
      </w:r>
      <w:r>
        <w:rPr>
          <w:rFonts w:ascii="Times New Roman" w:hAnsi="Times New Roman" w:eastAsia="仿宋_GB2312" w:cs="Times New Roman"/>
          <w:sz w:val="32"/>
          <w:szCs w:val="32"/>
        </w:rPr>
        <w:t>实施伍姓湖周边入湖排污口堵截，加强沿河排污口监督管理及水污染监测，建立入河排污口清单，加强污染排放综合监管，严格控制污染物总量。</w:t>
      </w:r>
      <w:r>
        <w:rPr>
          <w:rFonts w:hint="eastAsia" w:ascii="Times New Roman" w:hAnsi="Times New Roman" w:eastAsia="仿宋_GB2312" w:cs="Times New Roman"/>
          <w:sz w:val="32"/>
          <w:szCs w:val="32"/>
        </w:rPr>
        <w:t>对湾湾河、姚暹渠等河流渠道以及沿山泄洪沟道进行综合治理，</w:t>
      </w:r>
      <w:r>
        <w:rPr>
          <w:rFonts w:ascii="Times New Roman" w:hAnsi="Times New Roman" w:eastAsia="仿宋_GB2312" w:cs="Times New Roman"/>
          <w:sz w:val="32"/>
          <w:szCs w:val="32"/>
        </w:rPr>
        <w:t>实施河道疏浚、堤防整修加固、防汛抢险道路建设、建筑物改造等河道保护工程，</w:t>
      </w:r>
      <w:r>
        <w:rPr>
          <w:rFonts w:hint="eastAsia" w:ascii="Times New Roman" w:hAnsi="Times New Roman" w:eastAsia="仿宋_GB2312" w:cs="Times New Roman"/>
          <w:sz w:val="32"/>
          <w:szCs w:val="32"/>
        </w:rPr>
        <w:t>提高防洪标准和保障能力。</w:t>
      </w:r>
      <w:r>
        <w:rPr>
          <w:rFonts w:ascii="Times New Roman" w:hAnsi="Times New Roman" w:eastAsia="仿宋_GB2312" w:cs="Times New Roman"/>
          <w:sz w:val="32"/>
          <w:szCs w:val="32"/>
        </w:rPr>
        <w:t>实施污水处理厂提效改造项目，确保入河水质达标。建立跨县界河流水污染防治、水环境监测、水质超标预警、应急响应等联动机制，强化河道管控能力。严格控制伍姓湖及入湖水系周边农业生产中农药化肥使用，杜绝在农业生产中使用超标农药化肥。</w:t>
      </w:r>
      <w:r>
        <w:rPr>
          <w:rFonts w:ascii="Times New Roman" w:hAnsi="Times New Roman" w:eastAsia="仿宋_GB2312" w:cs="Times New Roman"/>
          <w:kern w:val="0"/>
          <w:sz w:val="32"/>
          <w:szCs w:val="32"/>
        </w:rPr>
        <w:t>到2025年，伍姓湖水质</w:t>
      </w:r>
      <w:r>
        <w:rPr>
          <w:rFonts w:hint="eastAsia" w:ascii="Times New Roman" w:hAnsi="Times New Roman" w:eastAsia="仿宋_GB2312" w:cs="Times New Roman"/>
          <w:kern w:val="0"/>
          <w:sz w:val="32"/>
          <w:szCs w:val="32"/>
        </w:rPr>
        <w:t>得到根本性改善，</w:t>
      </w:r>
      <w:r>
        <w:rPr>
          <w:rFonts w:ascii="Times New Roman" w:hAnsi="Times New Roman" w:eastAsia="仿宋_GB2312" w:cs="Times New Roman"/>
          <w:kern w:val="0"/>
          <w:sz w:val="32"/>
          <w:szCs w:val="32"/>
        </w:rPr>
        <w:t>达到《地表水环境质量》Ⅴ类标准以上。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加强水资源利用。</w:t>
      </w:r>
      <w:r>
        <w:rPr>
          <w:rFonts w:ascii="Times New Roman" w:hAnsi="Times New Roman" w:eastAsia="仿宋_GB2312" w:cs="Times New Roman"/>
          <w:sz w:val="32"/>
          <w:szCs w:val="32"/>
        </w:rPr>
        <w:t>按照“优先满足生活用水、适度压减农业用水、基本保持生态用水和科学调控工业新增用水规模”的水资源总体配置思路，推动水资源的合理利用。按照国家、省、市制定的相关制度方案，确定伍姓湖水资源可利用总量，形成水权总控制指标，进行水量约束。根据气候、地表水、地下水等动态变化情况，丰增枯减，建立不同水平年水资源配置的调剂细化方案。实行超罚节奖的惩罚激励机制，体现水资源优化配置的责、权、利原则，将水资源配置方案真正落到实处。</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强化水生态稳定。</w:t>
      </w:r>
      <w:r>
        <w:rPr>
          <w:rFonts w:hint="eastAsia" w:ascii="Times New Roman" w:hAnsi="Times New Roman" w:eastAsia="仿宋_GB2312" w:cs="Times New Roman"/>
          <w:sz w:val="32"/>
          <w:szCs w:val="32"/>
        </w:rPr>
        <w:t>继续实施人工湿地水污染治理项目，实现伍姓湖生态水质好转</w:t>
      </w:r>
      <w:r>
        <w:rPr>
          <w:rFonts w:ascii="Times New Roman" w:hAnsi="Times New Roman" w:eastAsia="仿宋_GB2312" w:cs="Times New Roman"/>
          <w:sz w:val="32"/>
          <w:szCs w:val="32"/>
        </w:rPr>
        <w:t>。开展涑水河流域水系连通工程，推动姚暹渠、涑水河、伍姓湖、汇入伍姓湖的重要沟道及黄河共同形成河湖连通网络体系，形成布局合理、连通有序、通畅自然、循环良性、生态健康、引排得当、蓄洪兼顾、多源互补的涑水河流域，最终达到“一泓清水入黄河”的目标。</w:t>
      </w:r>
      <w:r>
        <w:rPr>
          <w:rFonts w:ascii="Times New Roman" w:hAnsi="Times New Roman" w:eastAsia="仿宋_GB2312" w:cs="Times New Roman"/>
          <w:kern w:val="0"/>
          <w:sz w:val="32"/>
          <w:szCs w:val="32"/>
        </w:rPr>
        <w:t>到2025年，伍姓湖水面面积保持在12.5平方千米左右，水量达到1000万立方米。</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推动水环境优美。</w:t>
      </w:r>
      <w:r>
        <w:rPr>
          <w:rFonts w:ascii="Times New Roman" w:hAnsi="Times New Roman" w:eastAsia="仿宋_GB2312" w:cs="Times New Roman"/>
          <w:sz w:val="32"/>
          <w:szCs w:val="32"/>
        </w:rPr>
        <w:t>实施支流入河口湿地、退塘还湿、河道涵养林及防护林带生态绿化工程，营建鸟类栖息地，强化湿地植被修复，推动在功能分区的基础上建设自然式水岸、线性漫步式水岸、驻足停留式水岸。推动伍姓湖周边建立农田防护林带、湖岸缓冲林带、运风高速防护林带等三类植被缓冲带，在伍姓湖南侧中条山营造水土保持与水源涵养林，在平原农区恢复建设农田防护林网。</w:t>
      </w:r>
      <w:r>
        <w:rPr>
          <w:rFonts w:ascii="Times New Roman" w:hAnsi="Times New Roman" w:eastAsia="仿宋_GB2312" w:cs="Times New Roman"/>
          <w:kern w:val="0"/>
          <w:sz w:val="32"/>
          <w:szCs w:val="32"/>
        </w:rPr>
        <w:t>到2025年，伍姓湖林草保存面积占宜林宜草面积80%以上，综合治理措施保存率达85%以上，水土保持防洪减沙效率达到70%以上。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kern w:val="0"/>
          <w:sz w:val="32"/>
          <w:szCs w:val="32"/>
        </w:rPr>
        <w:t>加强水文化传承。</w:t>
      </w:r>
      <w:r>
        <w:rPr>
          <w:rFonts w:ascii="Times New Roman" w:hAnsi="Times New Roman" w:eastAsia="仿宋_GB2312" w:cs="Times New Roman"/>
          <w:sz w:val="32"/>
          <w:szCs w:val="32"/>
        </w:rPr>
        <w:t>深入挖掘伍姓文化的时代价值，充分发挥自然禀赋优势，积极举办“伍姓湖文化节”“伍姓湖民俗节”“伍姓湖运动节”等活动，强化“伍姓湖”文化符号元素在城市形态、城市业态中的融合，让“伍姓湖”文化品牌“活”起来、“动”起来，再现伍姓湖昔日美景，把伍姓湖打造成为伍姓文化休闲旅游胜地，让人们在自然山水中体悟历史传承、增强文化自信，把伍姓湖品牌推出运城、推出山西、推向全国。</w:t>
      </w:r>
    </w:p>
    <w:p>
      <w:pPr>
        <w:pStyle w:val="17"/>
        <w:spacing w:beforeLines="50" w:afterLines="50"/>
        <w:ind w:firstLine="0"/>
        <w:jc w:val="both"/>
        <w:outlineLvl w:val="1"/>
        <w:rPr>
          <w:rFonts w:ascii="Times New Roman" w:hAnsi="Times New Roman" w:eastAsia="楷体_GB2312"/>
          <w:kern w:val="0"/>
          <w:sz w:val="32"/>
          <w:szCs w:val="32"/>
          <w:lang w:bidi="en-US"/>
        </w:rPr>
      </w:pPr>
      <w:bookmarkStart w:id="81" w:name="_Toc68253260"/>
      <w:r>
        <w:rPr>
          <w:rFonts w:ascii="Times New Roman" w:hAnsi="Times New Roman" w:eastAsia="楷体_GB2312"/>
          <w:kern w:val="0"/>
          <w:sz w:val="32"/>
          <w:szCs w:val="32"/>
          <w:lang w:bidi="en-US"/>
        </w:rPr>
        <w:t>第三节  深入推进污染防治</w:t>
      </w:r>
      <w:bookmarkEnd w:id="81"/>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以提高环境质量为核心，对标找差，精准施策，靶向施治，持续推进蓝天、碧水、净土保卫战常态化长效化，实现多污染物综合防治和环境治理。</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持续改善大气环境质量。</w:t>
      </w:r>
      <w:r>
        <w:rPr>
          <w:rFonts w:ascii="Times New Roman" w:hAnsi="Times New Roman" w:eastAsia="仿宋_GB2312" w:cs="Times New Roman"/>
          <w:kern w:val="0"/>
          <w:sz w:val="32"/>
          <w:szCs w:val="32"/>
        </w:rPr>
        <w:t>深入开展“散乱污”企业综合整治，保持控煤、治污、管车、降尘“零容忍”高压态势，严格管控餐饮油烟、成品油气、垃圾秸秆焚烧等污染，实现PM</w:t>
      </w:r>
      <w:r>
        <w:rPr>
          <w:rFonts w:ascii="Times New Roman" w:hAnsi="Times New Roman" w:eastAsia="仿宋_GB2312" w:cs="Times New Roman"/>
          <w:kern w:val="0"/>
          <w:sz w:val="32"/>
          <w:szCs w:val="32"/>
          <w:vertAlign w:val="subscript"/>
        </w:rPr>
        <w:t>2.5</w:t>
      </w:r>
      <w:r>
        <w:rPr>
          <w:rFonts w:ascii="Times New Roman" w:hAnsi="Times New Roman" w:eastAsia="仿宋_GB2312" w:cs="Times New Roman"/>
          <w:kern w:val="0"/>
          <w:sz w:val="32"/>
          <w:szCs w:val="32"/>
        </w:rPr>
        <w:t>和重污染天数“双下降”。加快推动农村清洁取暖和散煤替代。落实企业治污主体责任，强化工业企业深度治理、道路及建筑工地扬尘治理，推动大气环境质量稳定提升。</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稳步提升水生态环境质量。</w:t>
      </w:r>
      <w:r>
        <w:rPr>
          <w:rFonts w:ascii="Times New Roman" w:hAnsi="Times New Roman" w:eastAsia="仿宋_GB2312" w:cs="Times New Roman"/>
          <w:kern w:val="0"/>
          <w:sz w:val="32"/>
          <w:szCs w:val="32"/>
        </w:rPr>
        <w:t>严格落实河长制，健全涑水河、伍姓湖排污口常态监管机制，推进饮用水、地下水、流域水、黑臭水、污废水“五水同治”。以国考张留庄断面水质稳定达标为主要目标，狠抓工业污染防治、强化城镇生活污水治理、推进农业农村污染防治、开展入河排污口整治，全面消除城乡黑臭水体。加强开张镇、卿头镇污水处理厂运营管理，加快虞乡镇、蒲州镇、张营镇污水处理站和管网建设，提高农村污水处理率。</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加强土壤环境质量安全保障。</w:t>
      </w:r>
      <w:r>
        <w:rPr>
          <w:rFonts w:ascii="Times New Roman" w:hAnsi="Times New Roman" w:eastAsia="仿宋_GB2312" w:cs="Times New Roman"/>
          <w:kern w:val="0"/>
          <w:sz w:val="32"/>
          <w:szCs w:val="32"/>
        </w:rPr>
        <w:t>实施农药厂、永济市中兴化工有限公司等污染</w:t>
      </w:r>
      <w:r>
        <w:rPr>
          <w:rFonts w:hint="eastAsia" w:ascii="Times New Roman" w:hAnsi="Times New Roman" w:eastAsia="仿宋_GB2312" w:cs="Times New Roman"/>
          <w:kern w:val="0"/>
          <w:sz w:val="32"/>
          <w:szCs w:val="32"/>
        </w:rPr>
        <w:t>企业</w:t>
      </w:r>
      <w:r>
        <w:rPr>
          <w:rFonts w:ascii="Times New Roman" w:hAnsi="Times New Roman" w:eastAsia="仿宋_GB2312" w:cs="Times New Roman"/>
          <w:kern w:val="0"/>
          <w:sz w:val="32"/>
          <w:szCs w:val="32"/>
        </w:rPr>
        <w:t>地块的</w:t>
      </w:r>
      <w:r>
        <w:rPr>
          <w:rFonts w:hint="eastAsia" w:ascii="Times New Roman" w:hAnsi="Times New Roman" w:eastAsia="仿宋_GB2312" w:cs="Times New Roman"/>
          <w:kern w:val="0"/>
          <w:sz w:val="32"/>
          <w:szCs w:val="32"/>
        </w:rPr>
        <w:t>突然环境调查评估，</w:t>
      </w:r>
      <w:r>
        <w:rPr>
          <w:rFonts w:ascii="Times New Roman" w:hAnsi="Times New Roman" w:eastAsia="仿宋_GB2312" w:cs="Times New Roman"/>
          <w:kern w:val="0"/>
          <w:sz w:val="32"/>
          <w:szCs w:val="32"/>
        </w:rPr>
        <w:t>逐步提高污染</w:t>
      </w:r>
      <w:r>
        <w:rPr>
          <w:rFonts w:hint="eastAsia" w:ascii="Times New Roman" w:hAnsi="Times New Roman" w:eastAsia="仿宋_GB2312" w:cs="Times New Roman"/>
          <w:kern w:val="0"/>
          <w:sz w:val="32"/>
          <w:szCs w:val="32"/>
        </w:rPr>
        <w:t>工矿企业地块</w:t>
      </w:r>
      <w:r>
        <w:rPr>
          <w:rFonts w:ascii="Times New Roman" w:hAnsi="Times New Roman" w:eastAsia="仿宋_GB2312" w:cs="Times New Roman"/>
          <w:kern w:val="0"/>
          <w:sz w:val="32"/>
          <w:szCs w:val="32"/>
        </w:rPr>
        <w:t>的利用。强化工业固废综合利用，增强危废、重金属处理能力，严厉打击各类固体废物非法倾倒问题。加强危险废弃物产生、收集、运输、处理等各环节的监管，确保危险废弃物的全部安全处置和零排放。</w:t>
      </w:r>
      <w:r>
        <w:rPr>
          <w:rFonts w:hint="eastAsia" w:ascii="Times New Roman" w:hAnsi="Times New Roman" w:eastAsia="仿宋_GB2312" w:cs="Times New Roman"/>
          <w:kern w:val="0"/>
          <w:sz w:val="32"/>
          <w:szCs w:val="32"/>
        </w:rPr>
        <w:t>积极引入多元化的社会资本，实施全域露天矿山生态修复，以韩阳镇全域土地整治项目为试点，逐步推进我市全域土地综合整治。</w:t>
      </w:r>
    </w:p>
    <w:p>
      <w:pPr>
        <w:pStyle w:val="17"/>
        <w:spacing w:beforeLines="50" w:afterLines="50"/>
        <w:ind w:firstLine="0"/>
        <w:jc w:val="center"/>
        <w:outlineLvl w:val="1"/>
        <w:rPr>
          <w:rFonts w:ascii="Times New Roman" w:hAnsi="Times New Roman" w:eastAsia="楷体_GB2312"/>
          <w:kern w:val="0"/>
          <w:sz w:val="32"/>
          <w:szCs w:val="32"/>
          <w:lang w:bidi="en-US"/>
        </w:rPr>
      </w:pPr>
      <w:bookmarkStart w:id="82" w:name="_Toc68253261"/>
      <w:r>
        <w:rPr>
          <w:rFonts w:ascii="Times New Roman" w:hAnsi="Times New Roman" w:eastAsia="楷体_GB2312"/>
          <w:kern w:val="0"/>
          <w:sz w:val="32"/>
          <w:szCs w:val="32"/>
          <w:lang w:bidi="en-US"/>
        </w:rPr>
        <w:t>第四节  加快形成绿色发展和生活方式</w:t>
      </w:r>
      <w:bookmarkEnd w:id="82"/>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落实碳达峰碳中和山西行动，以提高资源能源集约节约利用为切入点，加快推进清洁生产和资源综合利用，推进固废减量化、资源化、再利用，推动形成绿色生产生活方式。</w:t>
      </w:r>
    </w:p>
    <w:p>
      <w:pPr>
        <w:ind w:firstLine="643"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开展碳达峰碳中和行动。</w:t>
      </w:r>
      <w:r>
        <w:rPr>
          <w:rFonts w:hint="eastAsia" w:ascii="Times New Roman" w:hAnsi="Times New Roman" w:eastAsia="仿宋_GB2312" w:cs="Times New Roman"/>
          <w:kern w:val="0"/>
          <w:sz w:val="32"/>
          <w:szCs w:val="32"/>
        </w:rPr>
        <w:t>主动对标“2030、2060”目标，编制碳达峰碳中和行动方案，加快碳排放权交易制度和能力建设。以碳强度控制为主、碳排放总量控制为辅，实施能源消耗总量和强度双控行动。强化能耗控制，实施更加严格的能效和排放标准。创新合同能源管理服务模式，健全效益分享机制。推广能源费用分配制度，确认各用能单位、用能权初始配额，推进用能预算化管理，确保优质增量用能。</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推进能源节约利用。</w:t>
      </w:r>
      <w:r>
        <w:rPr>
          <w:rFonts w:ascii="Times New Roman" w:hAnsi="Times New Roman" w:eastAsia="仿宋_GB2312" w:cs="Times New Roman"/>
          <w:kern w:val="0"/>
          <w:sz w:val="32"/>
          <w:szCs w:val="32"/>
        </w:rPr>
        <w:t>全面建立资源高效利用制度，降低能耗、物耗水平，提高废弃资源利用效率。加强工业、建筑、交通运输等重点领域节能降耗，加快工业企业能源管理现代化、高效化，提升工业生产效率和能耗效率。推进建筑业低能耗、零能耗建筑建设试点，实施建筑节能先进标准领跑行动。合理有效配置不同交通运输方式，大力推广节能和新能源汽车。加快垃圾焚烧发电项目的并网运营，提高垃圾回收利用水平。</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推动水资源节约利用。</w:t>
      </w:r>
      <w:r>
        <w:rPr>
          <w:rFonts w:ascii="Times New Roman" w:hAnsi="Times New Roman" w:eastAsia="仿宋_GB2312" w:cs="Times New Roman"/>
          <w:kern w:val="0"/>
          <w:sz w:val="32"/>
          <w:szCs w:val="32"/>
        </w:rPr>
        <w:t>实行最严格的水资源管理制度，充分发挥价格的杠杆作用，提高水资源的利用效率和效益</w:t>
      </w:r>
      <w:r>
        <w:rPr>
          <w:rFonts w:hint="eastAsia" w:ascii="Times New Roman" w:hAnsi="Times New Roman" w:eastAsia="仿宋_GB2312" w:cs="Times New Roman"/>
          <w:kern w:val="0"/>
          <w:sz w:val="32"/>
          <w:szCs w:val="32"/>
        </w:rPr>
        <w:t>，推动地下水超采区综合治理，实施水资源置换工程和关井压采，用黄河客水替换地下水，遏制地下水超采势头</w:t>
      </w:r>
      <w:r>
        <w:rPr>
          <w:rFonts w:ascii="Times New Roman" w:hAnsi="Times New Roman" w:eastAsia="仿宋_GB2312" w:cs="Times New Roman"/>
          <w:kern w:val="0"/>
          <w:sz w:val="32"/>
          <w:szCs w:val="32"/>
        </w:rPr>
        <w:t>。井灌区以发展节水灌溉为主，黄灌区以末级渠系配套为主，不断扩大黄灌面积，积极推进水资源置换项目建设，减少农田灌溉对地下水的开采。</w:t>
      </w:r>
      <w:r>
        <w:rPr>
          <w:rFonts w:hint="eastAsia" w:ascii="Times New Roman" w:hAnsi="Times New Roman" w:eastAsia="仿宋_GB2312" w:cs="Times New Roman"/>
          <w:kern w:val="0"/>
          <w:sz w:val="32"/>
          <w:szCs w:val="32"/>
        </w:rPr>
        <w:t>全力推进中水回用，在工业、城市生活、生态绿化等方面，加大中水回用力度，提高用水效率。</w:t>
      </w:r>
      <w:r>
        <w:rPr>
          <w:rFonts w:ascii="Times New Roman" w:hAnsi="Times New Roman" w:eastAsia="仿宋_GB2312" w:cs="Times New Roman"/>
          <w:kern w:val="0"/>
          <w:sz w:val="32"/>
          <w:szCs w:val="32"/>
        </w:rPr>
        <w:t>推广节水器具的应用，建立重点用水单位监控名录，建设一批节水型示范机关、企业、社区、学校。</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加强土地节约集约利用。</w:t>
      </w:r>
      <w:r>
        <w:rPr>
          <w:rFonts w:ascii="Times New Roman" w:hAnsi="Times New Roman" w:eastAsia="仿宋_GB2312" w:cs="Times New Roman"/>
          <w:kern w:val="0"/>
          <w:sz w:val="32"/>
          <w:szCs w:val="32"/>
        </w:rPr>
        <w:t>加强建设用地管理总量控制与存量盘活，严格</w:t>
      </w:r>
      <w:r>
        <w:rPr>
          <w:rFonts w:hint="eastAsia" w:ascii="Times New Roman" w:hAnsi="Times New Roman" w:eastAsia="仿宋_GB2312" w:cs="Times New Roman"/>
          <w:kern w:val="0"/>
          <w:sz w:val="32"/>
          <w:szCs w:val="32"/>
        </w:rPr>
        <w:t>国土空间</w:t>
      </w:r>
      <w:r>
        <w:rPr>
          <w:rFonts w:ascii="Times New Roman" w:hAnsi="Times New Roman" w:eastAsia="仿宋_GB2312" w:cs="Times New Roman"/>
          <w:kern w:val="0"/>
          <w:sz w:val="32"/>
          <w:szCs w:val="32"/>
        </w:rPr>
        <w:t xml:space="preserve">总体规划实施管理，保障经济社会发展用地，提高土地节约集约利用水平。释放存量建设用地空间，提高存量建设用地在土地供应总量中的比重。建立健全低效用地再开发激励约束机制，鼓励城镇低效用地再开发，推进城乡存量建设用地挖潜利用和高效配置，规范实施城乡建设用地增减挂钩工作。 </w:t>
      </w:r>
    </w:p>
    <w:p>
      <w:pPr>
        <w:pStyle w:val="17"/>
        <w:spacing w:beforeLines="50" w:afterLines="50"/>
        <w:ind w:firstLine="0"/>
        <w:jc w:val="both"/>
        <w:outlineLvl w:val="1"/>
        <w:rPr>
          <w:rFonts w:ascii="Times New Roman" w:hAnsi="Times New Roman" w:eastAsia="楷体_GB2312"/>
          <w:kern w:val="0"/>
          <w:sz w:val="32"/>
          <w:szCs w:val="32"/>
          <w:lang w:bidi="en-US"/>
        </w:rPr>
      </w:pPr>
      <w:bookmarkStart w:id="83" w:name="_Toc68253262"/>
      <w:r>
        <w:rPr>
          <w:rFonts w:ascii="Times New Roman" w:hAnsi="Times New Roman" w:eastAsia="楷体_GB2312"/>
          <w:kern w:val="0"/>
          <w:sz w:val="32"/>
          <w:szCs w:val="32"/>
          <w:lang w:bidi="en-US"/>
        </w:rPr>
        <w:t>第五节  健全生态文明制度体系</w:t>
      </w:r>
      <w:bookmarkEnd w:id="83"/>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构建和完善党委领导、政府主导、企业主体、社会组织和公众共同参与的现代环境治理体系，为推动生态环境根本好转、建设美丽永济提供制度保障。</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完善生态评价考核体系。</w:t>
      </w:r>
      <w:r>
        <w:rPr>
          <w:rFonts w:hint="eastAsia" w:ascii="Times New Roman" w:hAnsi="Times New Roman" w:eastAsia="仿宋_GB2312" w:cs="Times New Roman"/>
          <w:kern w:val="0"/>
          <w:sz w:val="32"/>
          <w:szCs w:val="32"/>
        </w:rPr>
        <w:t>持续</w:t>
      </w:r>
      <w:r>
        <w:rPr>
          <w:rFonts w:ascii="Times New Roman" w:hAnsi="Times New Roman" w:eastAsia="仿宋_GB2312" w:cs="Times New Roman"/>
          <w:kern w:val="0"/>
          <w:sz w:val="32"/>
          <w:szCs w:val="32"/>
        </w:rPr>
        <w:t>把资源消耗、环境损害、生态效益等指标纳入经济社会发展评价体系，</w:t>
      </w:r>
      <w:r>
        <w:rPr>
          <w:rFonts w:hint="eastAsia" w:ascii="Times New Roman" w:hAnsi="Times New Roman" w:eastAsia="仿宋_GB2312" w:cs="Times New Roman"/>
          <w:kern w:val="0"/>
          <w:sz w:val="32"/>
          <w:szCs w:val="32"/>
        </w:rPr>
        <w:t>完善</w:t>
      </w:r>
      <w:r>
        <w:rPr>
          <w:rFonts w:ascii="Times New Roman" w:hAnsi="Times New Roman" w:eastAsia="仿宋_GB2312" w:cs="Times New Roman"/>
          <w:kern w:val="0"/>
          <w:sz w:val="32"/>
          <w:szCs w:val="32"/>
        </w:rPr>
        <w:t>体现生态文明要求的考核办法和奖惩制度，形成生态文明建设的长效机制。</w:t>
      </w:r>
      <w:r>
        <w:rPr>
          <w:rFonts w:hint="eastAsia" w:ascii="Times New Roman" w:hAnsi="Times New Roman" w:eastAsia="仿宋_GB2312" w:cs="Times New Roman"/>
          <w:kern w:val="0"/>
          <w:sz w:val="32"/>
          <w:szCs w:val="32"/>
        </w:rPr>
        <w:t>建立科学合理的</w:t>
      </w:r>
      <w:r>
        <w:rPr>
          <w:rFonts w:ascii="Times New Roman" w:hAnsi="Times New Roman" w:eastAsia="仿宋_GB2312" w:cs="Times New Roman"/>
          <w:kern w:val="0"/>
          <w:sz w:val="32"/>
          <w:szCs w:val="32"/>
        </w:rPr>
        <w:t>生态环境考核</w:t>
      </w:r>
      <w:r>
        <w:rPr>
          <w:rFonts w:hint="eastAsia" w:ascii="Times New Roman" w:hAnsi="Times New Roman" w:eastAsia="仿宋_GB2312" w:cs="Times New Roman"/>
          <w:kern w:val="0"/>
          <w:sz w:val="32"/>
          <w:szCs w:val="32"/>
        </w:rPr>
        <w:t>指标体系，</w:t>
      </w:r>
      <w:r>
        <w:rPr>
          <w:rFonts w:ascii="Times New Roman" w:hAnsi="Times New Roman" w:eastAsia="仿宋_GB2312" w:cs="Times New Roman"/>
          <w:kern w:val="0"/>
          <w:sz w:val="32"/>
          <w:szCs w:val="32"/>
        </w:rPr>
        <w:t>并将考核结果作为领导班子调整和领导干部选拔任用、奖励惩戒的重要依据。</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健全绿色发展促进机制。</w:t>
      </w:r>
      <w:r>
        <w:rPr>
          <w:rFonts w:ascii="Times New Roman" w:hAnsi="Times New Roman" w:eastAsia="仿宋_GB2312" w:cs="Times New Roman"/>
          <w:kern w:val="0"/>
          <w:sz w:val="32"/>
          <w:szCs w:val="32"/>
        </w:rPr>
        <w:t>严格落实绿色生产和消费的法律制度和政策，推行源头减量、清洁生产、资源循环、末端治理的生产方式，优先发展节能环保型产业，完善生态旅游发展体系，推动形成资源节约、环境友好、生态安全的工业、农业、服务业体系。探索建立市场导向的绿色技术创新体系，加快构建绿色低碳循环发展的经济体系，以环保倒逼转型。探索发展绿色金融和碳汇交易，丰富绿色金融产品。</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健全环境治理市场体系。</w:t>
      </w:r>
      <w:r>
        <w:rPr>
          <w:rFonts w:ascii="Times New Roman" w:hAnsi="Times New Roman" w:eastAsia="仿宋_GB2312" w:cs="Times New Roman"/>
          <w:kern w:val="0"/>
          <w:sz w:val="32"/>
          <w:szCs w:val="32"/>
        </w:rPr>
        <w:t>构建规范开放的市场，引导各类资本参与环境治理投资、建设、运行，积极开展园区污染防治第三方治理示范，探索统一规划、统一监测、统一治理的一体化服务模式。探索开展小城镇环境综合治理托管服务试点。对工业污染地块，鼓励采用“环境修复+开发建设”模式。健全生态补偿机制和环境准入机制，适时探索建立市域生态补偿基金，落实生态镇、村创建奖励补助资金政策。严格落实“谁污染、谁付费”政策导向，建立健全“污染者付费+第三方治理”等机制。</w:t>
      </w:r>
    </w:p>
    <w:p>
      <w:pPr>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spacing w:beforeLines="100" w:afterLines="100"/>
        <w:jc w:val="center"/>
        <w:outlineLvl w:val="0"/>
        <w:rPr>
          <w:rFonts w:ascii="Times New Roman" w:hAnsi="Times New Roman" w:eastAsia="黑体" w:cs="Times New Roman"/>
          <w:sz w:val="32"/>
          <w:szCs w:val="32"/>
        </w:rPr>
      </w:pPr>
      <w:bookmarkStart w:id="84" w:name="_Toc68253263"/>
      <w:r>
        <w:rPr>
          <w:rFonts w:ascii="Times New Roman" w:hAnsi="Times New Roman" w:eastAsia="黑体" w:cs="Times New Roman"/>
          <w:sz w:val="32"/>
          <w:szCs w:val="32"/>
        </w:rPr>
        <w:t>第</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章  全面深化改革</w:t>
      </w:r>
      <w:r>
        <w:rPr>
          <w:rFonts w:hint="eastAsia" w:ascii="Times New Roman" w:hAnsi="Times New Roman" w:eastAsia="黑体" w:cs="Times New Roman"/>
          <w:sz w:val="32"/>
          <w:szCs w:val="32"/>
        </w:rPr>
        <w:t>创新</w:t>
      </w:r>
      <w:r>
        <w:rPr>
          <w:rFonts w:ascii="Times New Roman" w:hAnsi="Times New Roman" w:eastAsia="黑体" w:cs="Times New Roman"/>
          <w:sz w:val="32"/>
          <w:szCs w:val="32"/>
        </w:rPr>
        <w:t>，</w:t>
      </w:r>
      <w:r>
        <w:rPr>
          <w:rFonts w:hint="eastAsia" w:ascii="Times New Roman" w:hAnsi="Times New Roman" w:eastAsia="黑体" w:cs="Times New Roman"/>
          <w:sz w:val="32"/>
          <w:szCs w:val="32"/>
        </w:rPr>
        <w:t>增强发展内生动力和活力</w:t>
      </w:r>
      <w:bookmarkEnd w:id="84"/>
    </w:p>
    <w:p>
      <w:pPr>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坚定不移走好改革开放必由之路，把创新驱动放在高质量</w:t>
      </w:r>
      <w:r>
        <w:rPr>
          <w:rFonts w:ascii="Times New Roman" w:hAnsi="Times New Roman" w:eastAsia="仿宋_GB2312" w:cs="Times New Roman"/>
          <w:sz w:val="32"/>
          <w:szCs w:val="32"/>
        </w:rPr>
        <w:t>转型发展</w:t>
      </w:r>
      <w:r>
        <w:rPr>
          <w:rFonts w:hint="eastAsia" w:ascii="Times New Roman" w:hAnsi="Times New Roman" w:eastAsia="仿宋_GB2312" w:cs="Times New Roman"/>
          <w:sz w:val="32"/>
          <w:szCs w:val="32"/>
        </w:rPr>
        <w:t>全局中</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核心位置，</w:t>
      </w:r>
      <w:r>
        <w:rPr>
          <w:rFonts w:ascii="Times New Roman" w:hAnsi="Times New Roman" w:eastAsia="仿宋_GB2312" w:cs="Times New Roman"/>
          <w:sz w:val="32"/>
          <w:szCs w:val="32"/>
        </w:rPr>
        <w:t>以改革</w:t>
      </w:r>
      <w:r>
        <w:rPr>
          <w:rFonts w:hint="eastAsia" w:ascii="Times New Roman" w:hAnsi="Times New Roman" w:eastAsia="仿宋_GB2312" w:cs="Times New Roman"/>
          <w:sz w:val="32"/>
          <w:szCs w:val="32"/>
        </w:rPr>
        <w:t>创新增强内生动力</w:t>
      </w:r>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rPr>
        <w:t>扩大</w:t>
      </w:r>
      <w:r>
        <w:rPr>
          <w:rFonts w:ascii="Times New Roman" w:hAnsi="Times New Roman" w:eastAsia="仿宋_GB2312" w:cs="Times New Roman"/>
          <w:sz w:val="32"/>
          <w:szCs w:val="32"/>
        </w:rPr>
        <w:t>开放</w:t>
      </w:r>
      <w:r>
        <w:rPr>
          <w:rFonts w:hint="eastAsia" w:ascii="Times New Roman" w:hAnsi="Times New Roman" w:eastAsia="仿宋_GB2312" w:cs="Times New Roman"/>
          <w:sz w:val="32"/>
          <w:szCs w:val="32"/>
        </w:rPr>
        <w:t>激发转型活力</w:t>
      </w:r>
      <w:r>
        <w:rPr>
          <w:rFonts w:ascii="Times New Roman" w:hAnsi="Times New Roman" w:eastAsia="仿宋_GB2312" w:cs="Times New Roman"/>
          <w:sz w:val="32"/>
          <w:szCs w:val="32"/>
        </w:rPr>
        <w:t>，切实解决发展中存在的深层次体制机制问题，着力构建</w:t>
      </w:r>
      <w:r>
        <w:rPr>
          <w:rFonts w:hint="eastAsia" w:ascii="Times New Roman" w:hAnsi="Times New Roman" w:eastAsia="仿宋_GB2312" w:cs="Times New Roman"/>
          <w:sz w:val="32"/>
          <w:szCs w:val="32"/>
        </w:rPr>
        <w:t>永济高质量发展</w:t>
      </w:r>
      <w:r>
        <w:rPr>
          <w:rFonts w:ascii="Times New Roman" w:hAnsi="Times New Roman" w:eastAsia="仿宋_GB2312" w:cs="Times New Roman"/>
          <w:sz w:val="32"/>
          <w:szCs w:val="32"/>
        </w:rPr>
        <w:t>新格局</w:t>
      </w:r>
      <w:r>
        <w:rPr>
          <w:rFonts w:hint="eastAsia" w:ascii="Times New Roman" w:hAnsi="Times New Roman" w:eastAsia="仿宋_GB2312" w:cs="Times New Roman"/>
          <w:sz w:val="32"/>
          <w:szCs w:val="32"/>
        </w:rPr>
        <w:t>。</w:t>
      </w:r>
    </w:p>
    <w:p>
      <w:pPr>
        <w:pStyle w:val="17"/>
        <w:spacing w:beforeLines="50" w:afterLines="50"/>
        <w:ind w:firstLine="0"/>
        <w:jc w:val="center"/>
        <w:outlineLvl w:val="1"/>
        <w:rPr>
          <w:rFonts w:ascii="Times New Roman" w:hAnsi="Times New Roman" w:eastAsia="楷体_GB2312"/>
          <w:kern w:val="0"/>
          <w:sz w:val="32"/>
          <w:szCs w:val="32"/>
          <w:lang w:bidi="en-US"/>
        </w:rPr>
      </w:pPr>
      <w:bookmarkStart w:id="85" w:name="_Toc68253264"/>
      <w:r>
        <w:rPr>
          <w:rFonts w:ascii="Times New Roman" w:hAnsi="Times New Roman" w:eastAsia="楷体_GB2312"/>
          <w:kern w:val="0"/>
          <w:sz w:val="32"/>
          <w:szCs w:val="32"/>
          <w:lang w:bidi="en-US"/>
        </w:rPr>
        <w:t>第一节  深化重点领域改革</w:t>
      </w:r>
      <w:bookmarkEnd w:id="85"/>
    </w:p>
    <w:p>
      <w:pPr>
        <w:ind w:firstLine="640" w:firstLineChars="200"/>
        <w:jc w:val="both"/>
        <w:rPr>
          <w:rStyle w:val="29"/>
          <w:rFonts w:ascii="Times New Roman" w:hAnsi="Times New Roman" w:eastAsia="仿宋_GB2312" w:cs="Times New Roman"/>
          <w:sz w:val="32"/>
          <w:szCs w:val="32"/>
        </w:rPr>
      </w:pPr>
      <w:r>
        <w:rPr>
          <w:rStyle w:val="29"/>
          <w:rFonts w:ascii="Times New Roman" w:hAnsi="Times New Roman" w:eastAsia="仿宋_GB2312" w:cs="Times New Roman"/>
          <w:sz w:val="32"/>
          <w:szCs w:val="32"/>
        </w:rPr>
        <w:t>以建设高水平社会主义市场经济体制为牵引，全面承接好中央全面深化改革重大决策部署及省委、运城市委工作安排，推动更多改革挺进运城乃至全省第一方阵。</w:t>
      </w:r>
    </w:p>
    <w:p>
      <w:pPr>
        <w:ind w:firstLine="643" w:firstLineChars="200"/>
        <w:jc w:val="both"/>
        <w:rPr>
          <w:rStyle w:val="29"/>
          <w:rFonts w:ascii="Times New Roman" w:hAnsi="Times New Roman" w:eastAsia="仿宋_GB2312" w:cs="Times New Roman"/>
          <w:sz w:val="32"/>
          <w:szCs w:val="32"/>
        </w:rPr>
      </w:pPr>
      <w:r>
        <w:rPr>
          <w:rFonts w:ascii="Times New Roman" w:hAnsi="Times New Roman" w:eastAsia="仿宋_GB2312" w:cs="Times New Roman"/>
          <w:b/>
          <w:bCs/>
          <w:sz w:val="32"/>
          <w:szCs w:val="32"/>
        </w:rPr>
        <w:t>全面激发各类市场主体活力。</w:t>
      </w:r>
      <w:r>
        <w:rPr>
          <w:rFonts w:ascii="Times New Roman" w:hAnsi="Times New Roman" w:eastAsia="仿宋_GB2312" w:cs="Times New Roman"/>
          <w:sz w:val="32"/>
          <w:szCs w:val="32"/>
        </w:rPr>
        <w:t>按照“应脱尽脱，分类处置”的原则，在依法依规、公开透明的基础上，有序推进党政机关与所办企业脱钩改革工作。加大国有企业改革力度，加快推动建立现代企业制度，完善公司法人治理结构，激发国有经济活力。全力配合运城国资委，做好永纺、农药厂等破产重组工作。落实激励民营经济发展各项措施，加大奖励兑现力度，强化普惠金融服务，创建全省中小企业高质量发展示范县。</w:t>
      </w:r>
      <w:r>
        <w:rPr>
          <w:rStyle w:val="29"/>
          <w:rFonts w:ascii="Times New Roman" w:hAnsi="Times New Roman" w:eastAsia="仿宋_GB2312" w:cs="Times New Roman"/>
          <w:sz w:val="32"/>
          <w:szCs w:val="32"/>
        </w:rPr>
        <w:t>加强对民营企业家的分类指导、精准服务，构建亲清新型政商关系，为企业发展营造良好环境。实施民营企业家素质提升工程，拓宽企业家战略眼界，弘扬优秀企业家精神。</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深化能源革命综合改革试点。</w:t>
      </w:r>
      <w:r>
        <w:rPr>
          <w:rFonts w:ascii="Times New Roman" w:hAnsi="Times New Roman" w:eastAsia="仿宋_GB2312" w:cs="Times New Roman"/>
          <w:sz w:val="32"/>
          <w:szCs w:val="32"/>
        </w:rPr>
        <w:t>推动蒲洲热电公司创建全国5A级优胜机组，进一步提高机组能效水平，致力打造成为能效指标全国一流的智慧型电厂。实施能源消耗总量和强度“双控”工程，严控煤炭消费增量。统筹整合高耗能企业的余热余压资源和区域用能需求，开展能源梯级利用。开展多能互补试点，鼓励发展屋顶光伏、光伏发电等可再生能源，积极发展生物质能，到2025年，</w:t>
      </w:r>
      <w:r>
        <w:rPr>
          <w:rFonts w:hint="eastAsia" w:ascii="Times New Roman" w:hAnsi="Times New Roman" w:eastAsia="仿宋_GB2312" w:cs="Times New Roman"/>
          <w:sz w:val="32"/>
          <w:szCs w:val="32"/>
        </w:rPr>
        <w:t>平原</w:t>
      </w:r>
      <w:r>
        <w:rPr>
          <w:rFonts w:ascii="Times New Roman" w:hAnsi="Times New Roman" w:eastAsia="仿宋_GB2312" w:cs="Times New Roman"/>
          <w:sz w:val="32"/>
          <w:szCs w:val="32"/>
        </w:rPr>
        <w:t>地区基本实现清洁取暖全覆盖。深化电力市场体制、清洁用能模式、能源价格形成机制等改革。</w:t>
      </w:r>
    </w:p>
    <w:p>
      <w:pPr>
        <w:ind w:firstLine="643" w:firstLineChars="200"/>
        <w:jc w:val="both"/>
        <w:rPr>
          <w:rStyle w:val="29"/>
          <w:rFonts w:ascii="Times New Roman" w:hAnsi="Times New Roman" w:eastAsia="仿宋_GB2312" w:cs="Times New Roman"/>
          <w:sz w:val="32"/>
          <w:szCs w:val="32"/>
        </w:rPr>
      </w:pPr>
      <w:r>
        <w:rPr>
          <w:rFonts w:ascii="Times New Roman" w:hAnsi="Times New Roman" w:eastAsia="仿宋_GB2312" w:cs="Times New Roman"/>
          <w:b/>
          <w:bCs/>
          <w:sz w:val="32"/>
          <w:szCs w:val="32"/>
        </w:rPr>
        <w:t>推进财政金融体制改革。</w:t>
      </w:r>
      <w:r>
        <w:rPr>
          <w:rStyle w:val="29"/>
          <w:rFonts w:ascii="Times New Roman" w:hAnsi="Times New Roman" w:eastAsia="仿宋_GB2312" w:cs="Times New Roman"/>
          <w:sz w:val="32"/>
          <w:szCs w:val="32"/>
        </w:rPr>
        <w:t>坚决落实过紧日子要求，持续压减一般性支出，最大限度盘活存量资金，重点向产业转型、重大改革、乡村振兴、社会民生等领域倾斜。深化部门预算管理，提高预算编制精准度，加强支出预算执行管理，推进全面预算绩效管理。发挥产业引导基金作用，发展壮大担保机构，破解中小微企业和涉农企业融资难问题。发挥好永济蒲坂振兴股权投资合伙企业的作用，不断壮大基金规模，争取到“十四五”末达到10亿元。</w:t>
      </w:r>
    </w:p>
    <w:p>
      <w:pPr>
        <w:pStyle w:val="17"/>
        <w:ind w:firstLine="643" w:firstLineChars="200"/>
        <w:jc w:val="both"/>
        <w:outlineLvl w:val="1"/>
        <w:rPr>
          <w:rStyle w:val="29"/>
          <w:rFonts w:ascii="Times New Roman" w:hAnsi="Times New Roman" w:eastAsia="仿宋_GB2312" w:cs="Times New Roman"/>
          <w:sz w:val="32"/>
          <w:szCs w:val="32"/>
        </w:rPr>
      </w:pPr>
      <w:bookmarkStart w:id="86" w:name="_Toc68253265"/>
      <w:r>
        <w:rPr>
          <w:rStyle w:val="29"/>
          <w:rFonts w:hint="eastAsia" w:ascii="Times New Roman" w:hAnsi="Times New Roman" w:eastAsia="仿宋_GB2312" w:cs="Times New Roman"/>
          <w:b/>
          <w:bCs/>
          <w:sz w:val="32"/>
          <w:szCs w:val="32"/>
        </w:rPr>
        <w:t>深化信用体系改革。</w:t>
      </w:r>
      <w:r>
        <w:rPr>
          <w:rStyle w:val="29"/>
          <w:rFonts w:hint="eastAsia" w:ascii="Times New Roman" w:hAnsi="Times New Roman" w:eastAsia="仿宋_GB2312" w:cs="Times New Roman"/>
          <w:sz w:val="32"/>
          <w:szCs w:val="32"/>
        </w:rPr>
        <w:t>推进“双随机、一公开”监管，以加强信用监管为着力点，创新监管理念、监管制度和监管方式，建立健全贯穿市场主体全生命周期，衔接事前、事中、事后全监管环节的新型监管机制，推进“互联网+监管”，提升监管效率。建立健全信用承诺制度、信用信息自愿注册机制、市场主体信用记录机制、失信联合惩戒及信用修复机制，深入开展公共信用综合评价，大力推进信用分级分类监管，着力提升信用监管信息化建设水平，切实加大信用信息安全和市场主体权益保护力度。在政府采购、招标投标、行政审批、市场准入、资质审核等事项中，充分发挥行业组织、第三方信用服务机构作用，为公众监督创造有利条件，整合形成全社会共同参与信用监管的强大合力，营造诚实守信、公平竞争的市场环境。</w:t>
      </w:r>
    </w:p>
    <w:p>
      <w:pPr>
        <w:pStyle w:val="17"/>
        <w:spacing w:beforeLines="50" w:afterLines="50"/>
        <w:ind w:firstLine="0"/>
        <w:jc w:val="center"/>
        <w:outlineLvl w:val="1"/>
        <w:rPr>
          <w:rFonts w:ascii="Times New Roman" w:hAnsi="Times New Roman" w:eastAsia="楷体_GB2312"/>
          <w:kern w:val="0"/>
          <w:sz w:val="32"/>
          <w:szCs w:val="32"/>
          <w:lang w:bidi="en-US"/>
        </w:rPr>
      </w:pPr>
      <w:r>
        <w:rPr>
          <w:rFonts w:ascii="Times New Roman" w:hAnsi="Times New Roman" w:eastAsia="楷体_GB2312"/>
          <w:kern w:val="0"/>
          <w:sz w:val="32"/>
          <w:szCs w:val="32"/>
          <w:lang w:bidi="en-US"/>
        </w:rPr>
        <w:t>第二节  构建高水平开放格局</w:t>
      </w:r>
      <w:bookmarkEnd w:id="86"/>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充分利用永济承东启西、联通南北的区位优势，主动“走出去”“融进去”，着力构建高水平开放新格局，形成推动发展和转型的内生动力和强大引擎。</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全面加强区域合作。</w:t>
      </w:r>
      <w:r>
        <w:rPr>
          <w:rFonts w:ascii="Times New Roman" w:hAnsi="Times New Roman" w:eastAsia="仿宋_GB2312" w:cs="Times New Roman"/>
          <w:sz w:val="32"/>
          <w:szCs w:val="32"/>
        </w:rPr>
        <w:t>主动对接京津冀、长三角、粤港澳大湾区，加大面向沿海地区的招商引资和产业承接力度，推进地方特色产品进入京津冀、长三角、粤港澳市场。深度融入实施《晋陕豫黄河金三角区域合作规划》，主动融入国家“一带一路”和关中平原城市群建设，加强和关中天水经济区、中原经济区的联系，加快完善交通、物流、信息网络体系，建立旅游合作和产业协作发展机制，实现与晋陕豫黄河金三角旅游资源的互通共享，推动商贸、文化、旅游、金融等领域合作。深化与太原都市区合作，探索建设跨区域合作示范带，发展“飞地经济”。支持有优势的机电、汽车零部件、农副产品等企业参加产品展销、产业合作活动，强化市场拓展。</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提升对外开放能级。</w:t>
      </w:r>
      <w:r>
        <w:rPr>
          <w:rFonts w:ascii="Times New Roman" w:hAnsi="Times New Roman" w:eastAsia="仿宋_GB2312" w:cs="Times New Roman"/>
          <w:sz w:val="32"/>
          <w:szCs w:val="32"/>
        </w:rPr>
        <w:t>牢固树立内陆和沿海同处开放一线的理念，深度融入“一带一路”建设，落实外贸发展优惠政策，探索和形成合理有效的外贸增长方式。实施好外贸主体培育工程，大力支持省级出口农产品示范基地建设，扶持培育出口创汇企业，增加农产品出口品种和数量。到2025年，外贸主体达到10家以上，外贸出口额突破1亿美元。积极开展政府间务实交流合作，鼓励各类群团组织和民间组织加强对外交流。支持企业开展境外商标注册、专利申请、产品认证，培育一批自主出口品牌，推动更多的自主品牌商品和传统优势产品进入国际市场。</w:t>
      </w:r>
    </w:p>
    <w:p>
      <w:pPr>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加大外资引进力度</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全面实施准入前国民待遇加负面清单管理制度，落实好利用外资政策，持续加大重点领域对外开放。创新外资引入方式，把引进外资与产业结构调整结合起来，在机电、新能源汽车、现代农业等领域实现突破。瞄准世界500强企业，发挥主导产业优势，引导外商精准投资，重点引进产业带动性强、富有竞争力、环境友好、有利于产业转型升级的重大投资项目。创新外商投资管理方式，实现投资便利化。建立外商投资服务协调机制，保护外商投资企业合法权益。</w:t>
      </w:r>
    </w:p>
    <w:p>
      <w:pPr>
        <w:ind w:firstLine="640" w:firstLineChars="200"/>
        <w:jc w:val="both"/>
        <w:rPr>
          <w:rFonts w:ascii="Times New Roman" w:hAnsi="Times New Roman" w:eastAsia="仿宋_GB2312" w:cs="Times New Roman"/>
          <w:sz w:val="32"/>
          <w:szCs w:val="32"/>
        </w:rPr>
      </w:pPr>
    </w:p>
    <w:bookmarkEnd w:id="46"/>
    <w:bookmarkEnd w:id="47"/>
    <w:bookmarkEnd w:id="48"/>
    <w:bookmarkEnd w:id="50"/>
    <w:p>
      <w:pPr>
        <w:pStyle w:val="17"/>
        <w:spacing w:beforeLines="50" w:afterLines="50"/>
        <w:ind w:firstLine="0"/>
        <w:jc w:val="center"/>
        <w:outlineLvl w:val="1"/>
        <w:rPr>
          <w:rFonts w:ascii="Times New Roman" w:hAnsi="Times New Roman" w:eastAsia="楷体_GB2312"/>
          <w:kern w:val="0"/>
          <w:sz w:val="32"/>
          <w:szCs w:val="32"/>
          <w:lang w:bidi="en-US"/>
        </w:rPr>
      </w:pPr>
      <w:bookmarkStart w:id="87" w:name="_Toc14780"/>
      <w:bookmarkStart w:id="88" w:name="_Toc57711634"/>
      <w:bookmarkStart w:id="89" w:name="_Toc23888"/>
      <w:bookmarkStart w:id="90" w:name="_Toc68253266"/>
      <w:bookmarkStart w:id="91" w:name="_Toc67564127"/>
      <w:r>
        <w:rPr>
          <w:rFonts w:ascii="Times New Roman" w:hAnsi="Times New Roman" w:eastAsia="楷体_GB2312"/>
          <w:kern w:val="0"/>
          <w:sz w:val="32"/>
          <w:szCs w:val="32"/>
          <w:lang w:bidi="en-US"/>
        </w:rPr>
        <w:t>第</w:t>
      </w:r>
      <w:r>
        <w:rPr>
          <w:rFonts w:hint="eastAsia" w:ascii="Times New Roman" w:hAnsi="Times New Roman" w:eastAsia="楷体_GB2312"/>
          <w:kern w:val="0"/>
          <w:sz w:val="32"/>
          <w:szCs w:val="32"/>
          <w:lang w:bidi="en-US"/>
        </w:rPr>
        <w:t>三</w:t>
      </w:r>
      <w:r>
        <w:rPr>
          <w:rFonts w:ascii="Times New Roman" w:hAnsi="Times New Roman" w:eastAsia="楷体_GB2312"/>
          <w:kern w:val="0"/>
          <w:sz w:val="32"/>
          <w:szCs w:val="32"/>
          <w:lang w:bidi="en-US"/>
        </w:rPr>
        <w:t>节  打好“六新”攻坚战</w:t>
      </w:r>
      <w:bookmarkEnd w:id="87"/>
      <w:bookmarkEnd w:id="88"/>
      <w:bookmarkEnd w:id="89"/>
      <w:bookmarkEnd w:id="90"/>
      <w:bookmarkEnd w:id="91"/>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聚焦新基建、新技术、新材料、新装备、新产品、新业态谋篇布局，把“六新”突破作为“蹚新路”的方向目标、路径要求和战略举措，找准推动“六新”发展的关键着力点，举全市之力坚决打赢打好“六新”攻坚战决胜战。</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加快布局新基建。</w:t>
      </w:r>
      <w:r>
        <w:rPr>
          <w:rFonts w:ascii="Times New Roman" w:hAnsi="Times New Roman" w:eastAsia="仿宋_GB2312" w:cs="Times New Roman"/>
          <w:color w:val="000000"/>
          <w:sz w:val="32"/>
          <w:szCs w:val="32"/>
        </w:rPr>
        <w:t>加快新基建规划布局和建设进度，</w:t>
      </w:r>
      <w:r>
        <w:rPr>
          <w:rFonts w:ascii="Times New Roman" w:hAnsi="Times New Roman" w:eastAsia="仿宋_GB2312" w:cs="Times New Roman"/>
          <w:sz w:val="32"/>
          <w:szCs w:val="32"/>
        </w:rPr>
        <w:t>合理统筹利用城市公共资源，以应用需求为导向，加快部署建设5G基础网络，全市城区、镇、村实现5G网络连续覆盖。以示范工程和重大项目为先导，推动建设2-3个5G示范应用场景、</w:t>
      </w:r>
      <w:r>
        <w:rPr>
          <w:rFonts w:ascii="Times New Roman" w:hAnsi="Times New Roman" w:eastAsia="仿宋_GB2312" w:cs="Times New Roman"/>
          <w:color w:val="000000"/>
          <w:sz w:val="32"/>
          <w:szCs w:val="32"/>
        </w:rPr>
        <w:t>1个市级工业互联网公共服务平台、3-5个典型应用项目，</w:t>
      </w:r>
      <w:r>
        <w:rPr>
          <w:rFonts w:ascii="Times New Roman" w:hAnsi="Times New Roman" w:eastAsia="仿宋_GB2312" w:cs="Times New Roman"/>
          <w:sz w:val="32"/>
          <w:szCs w:val="32"/>
        </w:rPr>
        <w:t>5G对相关产业高质量发展的赋能作用明显增强。紧盯5G基站、数据平台、物联网、区块链等，围绕人工智能、新能源汽车充电桩、AI等领域，谋划、储备、实施一批重点项目，充分发挥新基建对新经济、新动能的先行引导作用。</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持续攻坚新技术。</w:t>
      </w:r>
      <w:r>
        <w:rPr>
          <w:rFonts w:ascii="Times New Roman" w:hAnsi="Times New Roman" w:eastAsia="仿宋_GB2312" w:cs="Times New Roman"/>
          <w:sz w:val="32"/>
          <w:szCs w:val="32"/>
        </w:rPr>
        <w:t>积极对接省、运城市“111”“1311”“136”等创新工程，紧紧围绕“3+2”产业体系，</w:t>
      </w:r>
      <w:r>
        <w:rPr>
          <w:rFonts w:ascii="Times New Roman" w:hAnsi="Times New Roman" w:eastAsia="仿宋_GB2312" w:cs="Times New Roman"/>
          <w:color w:val="000000"/>
          <w:sz w:val="32"/>
          <w:szCs w:val="32"/>
        </w:rPr>
        <w:t>每年组织实施3-5项技术研发攻关项目，突破机电制造、风电设备制造维修、新能源汽车、农产品精深加工、高端印染等领域关键技术和共性技术瓶颈制约。</w:t>
      </w:r>
      <w:r>
        <w:rPr>
          <w:rFonts w:ascii="Times New Roman" w:hAnsi="Times New Roman" w:eastAsia="仿宋_GB2312" w:cs="Times New Roman"/>
          <w:sz w:val="32"/>
          <w:szCs w:val="32"/>
        </w:rPr>
        <w:t>积极争取重大战略项目和国家级、省级、运城市科技重大专项，开展前沿引领技术、“卡脖子”技术攻关。充分发挥中车永济电机公司、千军铝业、丰喜化机、光府科技、三晋宇航等重点企业技术优势，继续在新技术的研发、引进、应用上持续发力，加快工业技改及“两化”融合力度，不断提升创新引领发展的能力和水平。</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大力发展新材料。</w:t>
      </w:r>
      <w:r>
        <w:rPr>
          <w:rFonts w:ascii="Times New Roman" w:hAnsi="Times New Roman" w:eastAsia="仿宋_GB2312" w:cs="Times New Roman"/>
          <w:sz w:val="32"/>
          <w:szCs w:val="32"/>
        </w:rPr>
        <w:t>把新材料产业摆在培育壮大战略性新兴产业的突出位置，</w:t>
      </w:r>
      <w:r>
        <w:rPr>
          <w:rFonts w:ascii="Times New Roman" w:hAnsi="Times New Roman" w:eastAsia="仿宋_GB2312" w:cs="Times New Roman"/>
          <w:color w:val="000000"/>
          <w:sz w:val="32"/>
          <w:szCs w:val="32"/>
        </w:rPr>
        <w:t>积极推动新材料生产工艺关键设备开展数字化、智能化应用，</w:t>
      </w:r>
      <w:r>
        <w:rPr>
          <w:rFonts w:ascii="Times New Roman" w:hAnsi="Times New Roman" w:eastAsia="仿宋_GB2312" w:cs="Times New Roman"/>
          <w:sz w:val="32"/>
          <w:szCs w:val="32"/>
        </w:rPr>
        <w:t>深入做好“高、新、专、精”文章，依托光府科技、穿越光电、三晋宇航、蓝科途、华拓铝业等骨干企业，大力发展铝材精深加工产品、军工材料产品、OLED发光材料、锂电池隔膜等，努力向航空航天、耐高温材料、特种材料等尖端领域迈进，把新材料产业打造成新的支柱产业。</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积极发展新装备。</w:t>
      </w:r>
      <w:r>
        <w:rPr>
          <w:rFonts w:ascii="Times New Roman" w:hAnsi="Times New Roman" w:eastAsia="仿宋_GB2312" w:cs="Times New Roman"/>
          <w:sz w:val="32"/>
          <w:szCs w:val="32"/>
        </w:rPr>
        <w:t>发挥中车永济电机的技术优势，大力发展高铁电机、风电电机、油田电机、新能源汽车电机等，积极发展配套企业，推动产业链上下游合作，构建电池、电机、电控等关键零部件的配套产业，推动新能源汽车整车产业发展，把永济打造成全省重要的轨道交通装备制造基地。发挥丰喜化机的技术优势，积极开发、生产化工新装备，增强发展后劲。主动挖掘短板装备的迫切需求，重点引进创新团队，在智能机器人、火箭发动机等领域拓展发展空间。</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不断开发新产品。</w:t>
      </w:r>
      <w:r>
        <w:rPr>
          <w:rFonts w:ascii="Times New Roman" w:hAnsi="Times New Roman" w:eastAsia="仿宋_GB2312" w:cs="Times New Roman"/>
          <w:sz w:val="32"/>
          <w:szCs w:val="32"/>
        </w:rPr>
        <w:t>按照工业产品向高精尖迈进、农产品做好“特”“优”文章、文旅产品突出创意创新的要求，积极开发一批科技含量高、品牌附加值高、产业关联度高、市场占有率高的新产品。</w:t>
      </w:r>
      <w:r>
        <w:rPr>
          <w:rFonts w:ascii="Times New Roman" w:hAnsi="Times New Roman" w:eastAsia="仿宋_GB2312" w:cs="Times New Roman"/>
          <w:color w:val="000000"/>
          <w:sz w:val="32"/>
          <w:szCs w:val="32"/>
        </w:rPr>
        <w:t>加快工业新产品研发、转化、制造，发展铝材精深加工、高端电机、新能源汽车零部件、纺织印染包装等终端产品，培育高新技术产品、专精特新产品，提升产品附加值和竞争力。推动发展优质果菜、面粉食品、肉制品、药材药品、饮品酿品等地方特色优势产品，创建驰名商标，形成一批品牌产品、拳头产品。将永济舜帝、黄河、诗歌、爱情文化等融入文化旅游产品体系，通过旅游新产品体现文化内涵和价值。</w:t>
      </w:r>
    </w:p>
    <w:p>
      <w:pPr>
        <w:spacing w:afterLines="50"/>
        <w:ind w:firstLine="643" w:firstLineChars="200"/>
        <w:jc w:val="both"/>
        <w:rPr>
          <w:rFonts w:ascii="Times New Roman" w:hAnsi="Times New Roman" w:eastAsia="仿宋_GB2312" w:cs="Times New Roman"/>
          <w:color w:val="000000"/>
          <w:spacing w:val="2"/>
          <w:sz w:val="32"/>
          <w:szCs w:val="32"/>
        </w:rPr>
      </w:pPr>
      <w:r>
        <w:rPr>
          <w:rFonts w:ascii="Times New Roman" w:hAnsi="Times New Roman" w:eastAsia="仿宋_GB2312" w:cs="Times New Roman"/>
          <w:b/>
          <w:bCs/>
          <w:sz w:val="32"/>
          <w:szCs w:val="32"/>
        </w:rPr>
        <w:t>全力培育新业态。</w:t>
      </w:r>
      <w:r>
        <w:rPr>
          <w:rFonts w:ascii="Times New Roman" w:hAnsi="Times New Roman" w:eastAsia="仿宋_GB2312" w:cs="Times New Roman"/>
          <w:color w:val="000000"/>
          <w:spacing w:val="2"/>
          <w:sz w:val="32"/>
          <w:szCs w:val="32"/>
        </w:rPr>
        <w:t>积极开展新模式新业态试点示范，鼓励、支持和规范各类新业态创新发展，推动产业融合跨界共赢，形成新的经济增长点。以成功创建国家全域旅游示范区为契机，进一步加快工农文旅康贸产业融合发展，培育发展景观农业、特色民宿等新业态。着力推进数字经济与实体经济、民生服务深度融合，全面建设“数字永济”。大力发展电子商务、文化创意、“互联网+”等新业态，推动跨境电商、电商直播快速发展。积极布局智能物流终端，大力发展智慧物流，提升物流业现代化水平。</w:t>
      </w:r>
    </w:p>
    <w:tbl>
      <w:tblPr>
        <w:tblStyle w:val="19"/>
        <w:tblW w:w="8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760" w:type="dxa"/>
            <w:vAlign w:val="top"/>
          </w:tcPr>
          <w:p>
            <w:pPr>
              <w:jc w:val="both"/>
              <w:rPr>
                <w:rFonts w:ascii="Times New Roman" w:hAnsi="Times New Roman" w:eastAsia="楷体_GB2312" w:cs="Times New Roman"/>
                <w:sz w:val="32"/>
                <w:szCs w:val="32"/>
              </w:rPr>
            </w:pPr>
            <w:r>
              <w:rPr>
                <w:rFonts w:hint="eastAsia" w:ascii="黑体" w:hAnsi="黑体" w:eastAsia="黑体" w:cs="黑体"/>
                <w:sz w:val="28"/>
                <w:szCs w:val="28"/>
              </w:rPr>
              <w:t>专栏12：“六新”重点项目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8760" w:type="dxa"/>
            <w:vAlign w:val="top"/>
          </w:tcPr>
          <w:p>
            <w:pPr>
              <w:adjustRightInd w:val="0"/>
              <w:snapToGrid w:val="0"/>
              <w:spacing w:beforeLines="50"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新基建。</w:t>
            </w:r>
            <w:r>
              <w:rPr>
                <w:rFonts w:hint="eastAsia" w:ascii="方正小标宋简体" w:hAnsi="方正小标宋简体" w:eastAsia="方正小标宋简体" w:cs="方正小标宋简体"/>
                <w:szCs w:val="21"/>
              </w:rPr>
              <w:t>开发区轨道交通装备双创平台建设项目、畜牧大数据应用示范场暨2400头原种猪核心育种场建设项目、永旺集市科技开发有限公司投资1.8亿元的永旺集市智慧农贸市场、开发区智慧综合平台建设项目、城市充换电站、智慧城市升级扩容建设项目、雪亮工程二期建设项目、综合能源管理中心及分布式光伏发电项目、智慧教育二期工程、永济市工业互联网项目、食品溯源区块链中心、永济市云计算数据中心建设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新技术。</w:t>
            </w:r>
            <w:r>
              <w:rPr>
                <w:rFonts w:hint="eastAsia" w:ascii="方正小标宋简体" w:hAnsi="方正小标宋简体" w:eastAsia="方正小标宋简体" w:cs="方正小标宋简体"/>
                <w:szCs w:val="21"/>
              </w:rPr>
              <w:t>轨道交通工程（技术）研发中心建设项目、新能源有轨电车及零部件制造项目、火箭发动机研发生产项目、智能化纺纱工厂建设项目、三晋宇航火箭发动机研发生产项目、中低温煤焦油加氢制清洁燃料技术项目、年产8000万件永磁微特电机项目等。</w:t>
            </w:r>
          </w:p>
          <w:p>
            <w:pPr>
              <w:adjustRightInd w:val="0"/>
              <w:snapToGrid w:val="0"/>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新材料。</w:t>
            </w:r>
            <w:r>
              <w:rPr>
                <w:rFonts w:hint="eastAsia" w:ascii="方正小标宋简体" w:hAnsi="方正小标宋简体" w:eastAsia="方正小标宋简体" w:cs="方正小标宋简体"/>
                <w:szCs w:val="21"/>
              </w:rPr>
              <w:t>蓝科途新材料科技有限公司年产五亿平方米锂电池隔膜项目、北京光府科技公司军工高科技产业项目、OLED电致发光材料与器件项目、铝镁锌高铁防护板建设项目、锂离子电池电解液项目、半导体模块及新材料项目、第三代半导体材料项目、石墨烯及负极材料项目</w:t>
            </w:r>
          </w:p>
          <w:p>
            <w:pPr>
              <w:pStyle w:val="17"/>
              <w:spacing w:line="360" w:lineRule="exact"/>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新装备。</w:t>
            </w:r>
            <w:r>
              <w:rPr>
                <w:rFonts w:hint="eastAsia" w:ascii="方正小标宋简体" w:hAnsi="方正小标宋简体" w:eastAsia="方正小标宋简体" w:cs="方正小标宋简体"/>
                <w:szCs w:val="21"/>
              </w:rPr>
              <w:t>利信年产5万台（套）汽车缸体缸盖生产线项目、贝特机电公司高铁、风电电机配件加工项目、圣源机械公司汽车铸件生产线项目、新能源汽车动力总成项目、中高端汽车电子配套系统项目、新能源汽车底盘悬挂系统项目、新能源电动汽车充电桩（站）生产线项目、阳煤丰喜新能源装备制造项目等</w:t>
            </w:r>
          </w:p>
          <w:p>
            <w:pPr>
              <w:pStyle w:val="8"/>
              <w:spacing w:after="0" w:line="360" w:lineRule="exact"/>
              <w:ind w:left="0" w:leftChars="0"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新产品。</w:t>
            </w:r>
            <w:r>
              <w:rPr>
                <w:rFonts w:hint="eastAsia" w:ascii="方正小标宋简体" w:hAnsi="方正小标宋简体" w:eastAsia="方正小标宋简体" w:cs="方正小标宋简体"/>
                <w:szCs w:val="21"/>
              </w:rPr>
              <w:t>新康迁建年生产15000件封环等电机配件项目、优耐特绝缘材料公司电驱、电源系统生产线技改项目、景晟实业工装模具及燃气壁挂炉研发制造项目、新能源汽车电机控制器（逆变器）项目、精密减速器制造项目、速度传感器生产项目等</w:t>
            </w:r>
          </w:p>
          <w:p>
            <w:pPr>
              <w:adjustRightInd w:val="0"/>
              <w:snapToGrid w:val="0"/>
              <w:spacing w:afterLines="50" w:line="360" w:lineRule="exact"/>
              <w:ind w:firstLine="422" w:firstLineChars="200"/>
              <w:jc w:val="both"/>
            </w:pPr>
            <w:r>
              <w:rPr>
                <w:rFonts w:hint="eastAsia" w:ascii="方正小标宋简体" w:hAnsi="方正小标宋简体" w:eastAsia="方正小标宋简体" w:cs="方正小标宋简体"/>
                <w:b/>
                <w:szCs w:val="21"/>
              </w:rPr>
              <w:t>新业态。</w:t>
            </w:r>
            <w:r>
              <w:rPr>
                <w:rFonts w:hint="eastAsia" w:ascii="方正小标宋简体" w:hAnsi="方正小标宋简体" w:eastAsia="方正小标宋简体" w:cs="方正小标宋简体"/>
                <w:szCs w:val="21"/>
              </w:rPr>
              <w:t>久鼎公司新建仓储物流管理园区、风力发电机及变流器维修维护基地项目、无人零售生鲜终端设备研发制造项目、新能源汽车动力电池BMS管理系统项目。</w:t>
            </w:r>
          </w:p>
        </w:tc>
      </w:tr>
    </w:tbl>
    <w:p>
      <w:pPr>
        <w:pStyle w:val="17"/>
        <w:spacing w:beforeLines="50" w:afterLines="50"/>
        <w:ind w:firstLine="0"/>
        <w:jc w:val="center"/>
        <w:outlineLvl w:val="1"/>
        <w:rPr>
          <w:rFonts w:ascii="Times New Roman" w:hAnsi="Times New Roman" w:eastAsia="楷体_GB2312"/>
          <w:kern w:val="0"/>
          <w:sz w:val="32"/>
          <w:szCs w:val="32"/>
          <w:lang w:bidi="en-US"/>
        </w:rPr>
      </w:pPr>
      <w:bookmarkStart w:id="92" w:name="_Toc57711640"/>
      <w:bookmarkStart w:id="93" w:name="_Toc12105"/>
      <w:bookmarkStart w:id="94" w:name="_Toc67564128"/>
      <w:bookmarkStart w:id="95" w:name="_Toc68253267"/>
      <w:bookmarkStart w:id="96" w:name="_Toc32336"/>
      <w:bookmarkStart w:id="97" w:name="_Toc57711635"/>
      <w:r>
        <w:rPr>
          <w:rFonts w:ascii="Times New Roman" w:hAnsi="Times New Roman" w:eastAsia="楷体_GB2312"/>
          <w:kern w:val="0"/>
          <w:sz w:val="32"/>
          <w:szCs w:val="32"/>
          <w:lang w:bidi="en-US"/>
        </w:rPr>
        <w:t>第</w:t>
      </w:r>
      <w:r>
        <w:rPr>
          <w:rFonts w:hint="eastAsia" w:ascii="Times New Roman" w:hAnsi="Times New Roman" w:eastAsia="楷体_GB2312"/>
          <w:kern w:val="0"/>
          <w:sz w:val="32"/>
          <w:szCs w:val="32"/>
          <w:lang w:bidi="en-US"/>
        </w:rPr>
        <w:t>四</w:t>
      </w:r>
      <w:r>
        <w:rPr>
          <w:rFonts w:ascii="Times New Roman" w:hAnsi="Times New Roman" w:eastAsia="楷体_GB2312"/>
          <w:kern w:val="0"/>
          <w:sz w:val="32"/>
          <w:szCs w:val="32"/>
          <w:lang w:bidi="en-US"/>
        </w:rPr>
        <w:t xml:space="preserve">节  </w:t>
      </w:r>
      <w:bookmarkEnd w:id="92"/>
      <w:bookmarkEnd w:id="93"/>
      <w:r>
        <w:rPr>
          <w:rFonts w:ascii="Times New Roman" w:hAnsi="Times New Roman" w:eastAsia="楷体_GB2312"/>
          <w:kern w:val="0"/>
          <w:sz w:val="32"/>
          <w:szCs w:val="32"/>
          <w:lang w:bidi="en-US"/>
        </w:rPr>
        <w:t>实施科技创新工程</w:t>
      </w:r>
      <w:bookmarkEnd w:id="94"/>
      <w:bookmarkEnd w:id="95"/>
      <w:bookmarkEnd w:id="96"/>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强化企业在技术创新中的主体地位，加强创新平台培育力度，大力推动“双创”发展，构建和完善以企业为主体、市场为导向、政产学研深度融合的区域创新体系，引领支撑产业转型升级。</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实施企业技术创新全覆盖工程。</w:t>
      </w:r>
      <w:r>
        <w:rPr>
          <w:rFonts w:ascii="Times New Roman" w:hAnsi="Times New Roman" w:eastAsia="仿宋_GB2312" w:cs="Times New Roman"/>
          <w:sz w:val="32"/>
          <w:szCs w:val="32"/>
        </w:rPr>
        <w:t>推进骨干企业创建企业技术中心、工程研究中心、产业技术创新联盟等高水平创新平台，引导中小企业与高校、科研院所、大企业合作或配套协作，积极组建研发机构。完善企业投入引导激励机制，引导企业建立研发准备金制度。加大对企业研发投入的支持力度，实现规上工业企业研发活动全覆盖，提升规上企业研发标准和水平，推动规上工业企业研发投入增速进入运城第一方阵。力争到2025年，全市企业研发投入占销售收入比重超过5%，在装备制造、新材料、食品加工等重点领域、重点产品方面拥有一批专利权，国家级企业技术中心达到2家左右、省级企业技术中心达到10家左右，高新技术企业达到20家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实施创新平台扩量提质工程。</w:t>
      </w:r>
      <w:r>
        <w:rPr>
          <w:rFonts w:ascii="Times New Roman" w:hAnsi="Times New Roman" w:eastAsia="仿宋_GB2312" w:cs="Times New Roman"/>
          <w:sz w:val="32"/>
          <w:szCs w:val="32"/>
        </w:rPr>
        <w:t>充分发挥中车永济电机公司博士后科研工作站的作用，加快推动千军铝业、丰喜化机、光府科技、三晋宇航等重点企业建立博士后科研工作站，推动清华大学等知名院校聚焦产业发展对关键技术的研发需求，建立研学基地。加强和国内外高端研发机构合作组建创新研发平台，共建电机、风电维修、新能源汽车、高端印染等领域重点实验室，支持轨道交通牵引省级重点实验室建设成为国家级重点实验室。加快建设多元主体投入、市场化机制运作、面向社会开放的新型研发机构，推动有实力的大企业成立企业研究院，探索产业共同体模式。推动整合全市现有技术研发、质量检测资源，加快建设电机产业科研、设计、检测一体化服务机构。力争“十四五”期间，全市新建院士工作站2个、博士工作站5个、省级重点实验室1家、</w:t>
      </w:r>
      <w:r>
        <w:rPr>
          <w:rFonts w:hint="eastAsia" w:ascii="Times New Roman" w:hAnsi="Times New Roman" w:eastAsia="仿宋_GB2312" w:cs="Times New Roman"/>
          <w:sz w:val="32"/>
          <w:szCs w:val="32"/>
        </w:rPr>
        <w:t>省级工程研究中心2家、国家级重点实验室1家、</w:t>
      </w:r>
      <w:r>
        <w:rPr>
          <w:rFonts w:ascii="Times New Roman" w:hAnsi="Times New Roman" w:eastAsia="仿宋_GB2312" w:cs="Times New Roman"/>
          <w:sz w:val="32"/>
          <w:szCs w:val="32"/>
        </w:rPr>
        <w:t>新型研发机构5家以上。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实施科技成果承接转化工程。</w:t>
      </w:r>
      <w:r>
        <w:rPr>
          <w:rFonts w:ascii="Times New Roman" w:hAnsi="Times New Roman" w:eastAsia="仿宋_GB2312" w:cs="Times New Roman"/>
          <w:sz w:val="32"/>
          <w:szCs w:val="32"/>
        </w:rPr>
        <w:t>围绕全市企业技术需求，开启“订单式”创新成果引进模式，以技术委托开发或联合开发等方式增加企业技术需求。推进“科创飞地”建设，支持龙头企业在创新资源富集地区建设科创中心，形成研发在市外、生产在市内、转化在市内的产业发展模式。聚焦主导产业，推动在机电、新能源汽车、风电维修、高端印染等领域加大中试环节支持力度，依托开发区建设3-5家中试基地、中试生产线。推动与中科院电工研究所、中电科21所、西安微电机研究所等科研机构合作共建机电科研成果转化基地，推动大型电机开发中试基地建设。加强知识产权保护运用，鼓励专利代理机构在我市建立专利服务站。</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实施全民创新创业工程。</w:t>
      </w:r>
      <w:r>
        <w:rPr>
          <w:rFonts w:ascii="Times New Roman" w:hAnsi="Times New Roman" w:eastAsia="仿宋_GB2312" w:cs="Times New Roman"/>
          <w:sz w:val="32"/>
          <w:szCs w:val="32"/>
        </w:rPr>
        <w:t>按照政府引导，市场化运作模式，推动构建一批全要素、低成本、便利化、开放式众创空间、孵化器、加速器。围绕</w:t>
      </w:r>
      <w:r>
        <w:rPr>
          <w:rFonts w:hint="eastAsia" w:ascii="Times New Roman" w:hAnsi="Times New Roman" w:eastAsia="仿宋_GB2312" w:cs="Times New Roman"/>
          <w:sz w:val="32"/>
          <w:szCs w:val="32"/>
        </w:rPr>
        <w:t>“六强五新”</w:t>
      </w:r>
      <w:r>
        <w:rPr>
          <w:rFonts w:ascii="Times New Roman" w:hAnsi="Times New Roman" w:eastAsia="仿宋_GB2312" w:cs="Times New Roman"/>
          <w:sz w:val="32"/>
          <w:szCs w:val="32"/>
        </w:rPr>
        <w:t>产业体系发展专业孵化器、民营孵化器、异地孵化器等，加快轨道交通双创平台、小企业科技创新孵化中心建设，加强省级创新孵化示范基地、创业示范园区评选认定工作，加大奖补支持力度，提升科技孵化功能。大力培育创新文化，在全社会弘扬崇尚创新、敢为人先的精神，弘扬科学家精神、企业家精神、工匠精神，鼓励我市创新创业主体积极参加国家、省创新创业大赛，营造大众创业、万众创新的良好社会氛围。实施领导干部和公务员、劳动者、青少年科学素质提升行动，全面提升全民创新意识。建立健全创新容错机制，充分激发干事创业的主动性、创造性。</w:t>
      </w:r>
    </w:p>
    <w:p>
      <w:pPr>
        <w:pStyle w:val="17"/>
        <w:spacing w:beforeLines="50" w:afterLines="50"/>
        <w:ind w:firstLine="0"/>
        <w:jc w:val="center"/>
        <w:outlineLvl w:val="1"/>
        <w:rPr>
          <w:rFonts w:ascii="Times New Roman" w:hAnsi="Times New Roman" w:eastAsia="楷体_GB2312"/>
          <w:kern w:val="0"/>
          <w:sz w:val="32"/>
          <w:szCs w:val="32"/>
          <w:lang w:bidi="en-US"/>
        </w:rPr>
      </w:pPr>
      <w:bookmarkStart w:id="98" w:name="_Toc68253268"/>
      <w:bookmarkStart w:id="99" w:name="_Toc4946"/>
      <w:bookmarkStart w:id="100" w:name="_Toc67564129"/>
      <w:bookmarkStart w:id="101" w:name="_Toc3913"/>
      <w:r>
        <w:rPr>
          <w:rFonts w:ascii="Times New Roman" w:hAnsi="Times New Roman" w:eastAsia="楷体_GB2312"/>
          <w:kern w:val="0"/>
          <w:sz w:val="32"/>
          <w:szCs w:val="32"/>
          <w:lang w:bidi="en-US"/>
        </w:rPr>
        <w:t>第</w:t>
      </w:r>
      <w:r>
        <w:rPr>
          <w:rFonts w:hint="eastAsia" w:ascii="Times New Roman" w:hAnsi="Times New Roman" w:eastAsia="楷体_GB2312"/>
          <w:kern w:val="0"/>
          <w:sz w:val="32"/>
          <w:szCs w:val="32"/>
          <w:lang w:bidi="en-US"/>
        </w:rPr>
        <w:t>五</w:t>
      </w:r>
      <w:r>
        <w:rPr>
          <w:rFonts w:ascii="Times New Roman" w:hAnsi="Times New Roman" w:eastAsia="楷体_GB2312"/>
          <w:kern w:val="0"/>
          <w:sz w:val="32"/>
          <w:szCs w:val="32"/>
          <w:lang w:bidi="en-US"/>
        </w:rPr>
        <w:t xml:space="preserve">节  </w:t>
      </w:r>
      <w:bookmarkEnd w:id="98"/>
      <w:bookmarkEnd w:id="99"/>
      <w:bookmarkEnd w:id="100"/>
      <w:bookmarkEnd w:id="101"/>
      <w:r>
        <w:rPr>
          <w:rFonts w:hint="eastAsia" w:ascii="Times New Roman" w:hAnsi="Times New Roman" w:eastAsia="楷体_GB2312"/>
          <w:kern w:val="0"/>
          <w:sz w:val="32"/>
          <w:szCs w:val="32"/>
          <w:lang w:bidi="en-US"/>
        </w:rPr>
        <w:t>创新人才智力支撑</w:t>
      </w:r>
    </w:p>
    <w:p>
      <w:pPr>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牢固树立“抓人才就是抓发展”的工作导向，把握服务我市高质量发展的目标定位，</w:t>
      </w:r>
      <w:r>
        <w:rPr>
          <w:rFonts w:hint="eastAsia" w:ascii="Times New Roman" w:hAnsi="Times New Roman" w:eastAsia="仿宋_GB2312" w:cs="Times New Roman"/>
          <w:color w:val="000000"/>
          <w:sz w:val="32"/>
          <w:szCs w:val="32"/>
        </w:rPr>
        <w:t>全面落实“运才兴运”专项行动，</w:t>
      </w:r>
      <w:r>
        <w:rPr>
          <w:rFonts w:ascii="Times New Roman" w:hAnsi="Times New Roman" w:eastAsia="仿宋_GB2312" w:cs="Times New Roman"/>
          <w:color w:val="000000"/>
          <w:sz w:val="32"/>
          <w:szCs w:val="32"/>
        </w:rPr>
        <w:t>以更加开放、更加灵活、更加优惠的政策引才聚才，努力营造识才、爱才、敬才、用才的良好氛围。</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创优环境引才。</w:t>
      </w:r>
      <w:r>
        <w:rPr>
          <w:rFonts w:ascii="Times New Roman" w:hAnsi="Times New Roman" w:eastAsia="仿宋_GB2312" w:cs="Times New Roman"/>
          <w:sz w:val="32"/>
          <w:szCs w:val="32"/>
        </w:rPr>
        <w:t>深入实施《永济市</w:t>
      </w:r>
      <w:r>
        <w:rPr>
          <w:rFonts w:hint="eastAsia" w:ascii="Times New Roman" w:hAnsi="Times New Roman" w:eastAsia="仿宋_GB2312" w:cs="Times New Roman"/>
          <w:sz w:val="32"/>
          <w:szCs w:val="32"/>
        </w:rPr>
        <w:t>引进高端</w:t>
      </w:r>
      <w:r>
        <w:rPr>
          <w:rFonts w:ascii="Times New Roman" w:hAnsi="Times New Roman" w:eastAsia="仿宋_GB2312" w:cs="Times New Roman"/>
          <w:sz w:val="32"/>
          <w:szCs w:val="32"/>
        </w:rPr>
        <w:t>人才支持</w:t>
      </w:r>
      <w:r>
        <w:rPr>
          <w:rFonts w:hint="eastAsia" w:ascii="Times New Roman" w:hAnsi="Times New Roman" w:eastAsia="仿宋_GB2312" w:cs="Times New Roman"/>
          <w:sz w:val="32"/>
          <w:szCs w:val="32"/>
        </w:rPr>
        <w:t>暂行</w:t>
      </w:r>
      <w:r>
        <w:rPr>
          <w:rFonts w:ascii="Times New Roman" w:hAnsi="Times New Roman" w:eastAsia="仿宋_GB2312" w:cs="Times New Roman"/>
          <w:sz w:val="32"/>
          <w:szCs w:val="32"/>
        </w:rPr>
        <w:t>办法》</w:t>
      </w:r>
      <w:r>
        <w:rPr>
          <w:rFonts w:hint="eastAsia" w:ascii="Times New Roman" w:hAnsi="Times New Roman" w:eastAsia="仿宋_GB2312" w:cs="Times New Roman"/>
          <w:sz w:val="32"/>
          <w:szCs w:val="32"/>
        </w:rPr>
        <w:t>《永济市高素质青年人才支持办法》</w:t>
      </w:r>
      <w:r>
        <w:rPr>
          <w:rFonts w:ascii="Times New Roman" w:hAnsi="Times New Roman" w:eastAsia="仿宋_GB2312" w:cs="Times New Roman"/>
          <w:sz w:val="32"/>
          <w:szCs w:val="32"/>
        </w:rPr>
        <w:t>，落实好</w:t>
      </w:r>
      <w:r>
        <w:rPr>
          <w:rFonts w:hint="eastAsia" w:ascii="Times New Roman" w:hAnsi="Times New Roman" w:eastAsia="仿宋_GB2312" w:cs="Times New Roman"/>
          <w:sz w:val="32"/>
          <w:szCs w:val="32"/>
        </w:rPr>
        <w:t>各项</w:t>
      </w:r>
      <w:r>
        <w:rPr>
          <w:rFonts w:ascii="Times New Roman" w:hAnsi="Times New Roman" w:eastAsia="仿宋_GB2312" w:cs="Times New Roman"/>
          <w:sz w:val="32"/>
          <w:szCs w:val="32"/>
        </w:rPr>
        <w:t>人才激励政策，</w:t>
      </w:r>
      <w:r>
        <w:rPr>
          <w:rFonts w:hint="eastAsia" w:ascii="Times New Roman" w:hAnsi="Times New Roman" w:eastAsia="仿宋_GB2312" w:cs="Times New Roman"/>
          <w:sz w:val="32"/>
          <w:szCs w:val="32"/>
        </w:rPr>
        <w:t>确保“十四五”期间引进</w:t>
      </w:r>
      <w:r>
        <w:rPr>
          <w:rFonts w:ascii="Times New Roman" w:hAnsi="Times New Roman" w:eastAsia="仿宋_GB2312" w:cs="Times New Roman"/>
          <w:sz w:val="32"/>
          <w:szCs w:val="32"/>
        </w:rPr>
        <w:t>硕士、博士等高层次人才</w:t>
      </w:r>
      <w:r>
        <w:rPr>
          <w:rFonts w:hint="eastAsia" w:ascii="Times New Roman" w:hAnsi="Times New Roman" w:eastAsia="仿宋_GB2312" w:cs="Times New Roman"/>
          <w:sz w:val="32"/>
          <w:szCs w:val="32"/>
        </w:rPr>
        <w:t>不少于100名</w:t>
      </w:r>
      <w:r>
        <w:rPr>
          <w:rFonts w:ascii="Times New Roman" w:hAnsi="Times New Roman" w:eastAsia="仿宋_GB2312" w:cs="Times New Roman"/>
          <w:sz w:val="32"/>
          <w:szCs w:val="32"/>
        </w:rPr>
        <w:t>。持续实施永济籍人才“凤还巢”计划，积极引导在外优秀人才回乡创新创业。加快推动永济“人才公寓”建设，打造人才服务品牌，吸引更多的优秀人才来永济创业就业、安居落户。加快推动永济新型智库建设，建立健全永济科技顾问制度，围绕</w:t>
      </w:r>
      <w:r>
        <w:rPr>
          <w:rFonts w:hint="eastAsia" w:ascii="Times New Roman" w:hAnsi="Times New Roman" w:eastAsia="仿宋_GB2312" w:cs="Times New Roman"/>
          <w:sz w:val="32"/>
          <w:szCs w:val="32"/>
        </w:rPr>
        <w:t>“六强五新”</w:t>
      </w:r>
      <w:r>
        <w:rPr>
          <w:rFonts w:ascii="Times New Roman" w:hAnsi="Times New Roman" w:eastAsia="仿宋_GB2312" w:cs="Times New Roman"/>
          <w:sz w:val="32"/>
          <w:szCs w:val="32"/>
        </w:rPr>
        <w:t>产业体系设立专业智库和人才库。充分发挥已有创新平台对高端人才的凝聚作用，加强光府科技院士工作站、企业科研工作站建设，吸引穿越光电、三晋宇航研发团队落户我市，通过平台吸引人才，通过事业成就人才，强化创新平台对人才的“磁吸效应”。</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深化改革育才。</w:t>
      </w:r>
      <w:r>
        <w:rPr>
          <w:rFonts w:ascii="Times New Roman" w:hAnsi="Times New Roman" w:eastAsia="仿宋_GB2312" w:cs="Times New Roman"/>
          <w:sz w:val="32"/>
          <w:szCs w:val="32"/>
        </w:rPr>
        <w:t>抓好“人人持证、技能社会”建设，进一步深化职业教育改革，支持永济职业中专学校、职业培训机构等推行现代学徒制和招生招工一体化，加强同我省职业技术学院的合作对接，通过产教融合、订单式培养，培养一批技能型、实用型人才。推动以“校市企”共建的模式定向培养高素质的应用型技术人才。广泛开展</w:t>
      </w:r>
      <w:r>
        <w:rPr>
          <w:rFonts w:hint="eastAsia" w:ascii="Times New Roman" w:hAnsi="Times New Roman" w:eastAsia="仿宋_GB2312" w:cs="Times New Roman"/>
          <w:sz w:val="32"/>
          <w:szCs w:val="32"/>
        </w:rPr>
        <w:t>“拔尖人才”选拔、</w:t>
      </w:r>
      <w:r>
        <w:rPr>
          <w:rFonts w:ascii="Times New Roman" w:hAnsi="Times New Roman" w:eastAsia="仿宋_GB2312" w:cs="Times New Roman"/>
          <w:sz w:val="32"/>
          <w:szCs w:val="32"/>
        </w:rPr>
        <w:t>“永济工匠”评选、职业技能竞赛、青年创新创业大赛等，加快建立高技能人才培训基地，选择部分企业开展高技能人才评价试点，培养符合本地需求的专业技能型人才。</w:t>
      </w:r>
    </w:p>
    <w:p>
      <w:pPr>
        <w:widowControl w:val="0"/>
        <w:wordWrap/>
        <w:adjustRightInd/>
        <w:snapToGrid/>
        <w:spacing w:line="580" w:lineRule="exact"/>
        <w:ind w:left="0" w:leftChars="0" w:right="0" w:firstLine="643"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创新机制用才。</w:t>
      </w:r>
      <w:r>
        <w:rPr>
          <w:rFonts w:ascii="Times New Roman" w:hAnsi="Times New Roman" w:eastAsia="仿宋_GB2312" w:cs="Times New Roman"/>
          <w:sz w:val="32"/>
          <w:szCs w:val="32"/>
        </w:rPr>
        <w:t>坚持“不求所有、但求所用”，加大“柔性用才、项目引才”力度，积极对接黄河金三角、京津冀、省城的科研院所和高校，推行“</w:t>
      </w:r>
      <w:r>
        <w:rPr>
          <w:rFonts w:hint="eastAsia" w:ascii="Times New Roman" w:hAnsi="Times New Roman" w:eastAsia="仿宋_GB2312" w:cs="Times New Roman"/>
          <w:sz w:val="32"/>
          <w:szCs w:val="32"/>
        </w:rPr>
        <w:t>候鸟</w:t>
      </w:r>
      <w:r>
        <w:rPr>
          <w:rFonts w:ascii="Times New Roman" w:hAnsi="Times New Roman" w:eastAsia="仿宋_GB2312" w:cs="Times New Roman"/>
          <w:sz w:val="32"/>
          <w:szCs w:val="32"/>
        </w:rPr>
        <w:t>式”聘任、“双休日”专家、互联网咨询等灵活用才方式。完善人才激励机制，探索对领军人才和创新团队实行年薪制、协议工资、项目工资和股权、期权、分红等多种分配方式，打造激励组合拳，让人才引得进、留得住、发展好。创新评审式、目录式、举荐式、合作式等引进方式，赋予用人单位更大的评价自主权。力争五年内引进高层次人才100人。</w:t>
      </w:r>
    </w:p>
    <w:p>
      <w:pPr>
        <w:widowControl w:val="0"/>
        <w:wordWrap/>
        <w:adjustRightInd/>
        <w:snapToGrid/>
        <w:spacing w:line="580" w:lineRule="exact"/>
        <w:ind w:left="0" w:leftChars="0" w:right="0" w:firstLine="643"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加强人才服务。</w:t>
      </w:r>
      <w:r>
        <w:rPr>
          <w:rFonts w:ascii="Times New Roman" w:hAnsi="Times New Roman" w:eastAsia="仿宋_GB2312" w:cs="Times New Roman"/>
          <w:sz w:val="32"/>
          <w:szCs w:val="32"/>
        </w:rPr>
        <w:t>开展人才服务质效提升行动，加快推进永济人才服务平台建设，完善人才服务窗口“一站式”运行，建立高层次人才服务专员制度，全面落实省市人才引进、家属安置、子女就业等优惠政策，解决各类人才服务政策落实“最后一公里”问题，全面提升人才服务精细化水平。强化对创新创业的正向引导，加大科技创新奖励，重奖突出贡献的科技人员。</w:t>
      </w:r>
    </w:p>
    <w:bookmarkEnd w:id="97"/>
    <w:p>
      <w:pPr>
        <w:spacing w:beforeLines="100"/>
        <w:jc w:val="both"/>
        <w:outlineLvl w:val="0"/>
        <w:rPr>
          <w:rFonts w:ascii="Times New Roman" w:hAnsi="Times New Roman" w:eastAsia="黑体" w:cs="Times New Roman"/>
          <w:sz w:val="32"/>
          <w:szCs w:val="32"/>
        </w:rPr>
      </w:pPr>
      <w:bookmarkStart w:id="102" w:name="_Toc15813"/>
      <w:bookmarkStart w:id="103" w:name="_Toc57711670"/>
      <w:bookmarkStart w:id="104" w:name="_Toc67564167"/>
      <w:bookmarkStart w:id="105" w:name="_Toc16319"/>
      <w:r>
        <w:rPr>
          <w:rFonts w:ascii="Times New Roman" w:hAnsi="Times New Roman" w:eastAsia="黑体" w:cs="Times New Roman"/>
          <w:sz w:val="32"/>
          <w:szCs w:val="32"/>
        </w:rPr>
        <w:br w:type="page"/>
      </w:r>
    </w:p>
    <w:p>
      <w:pPr>
        <w:spacing w:beforeLines="100" w:afterLines="100"/>
        <w:jc w:val="center"/>
        <w:outlineLvl w:val="0"/>
        <w:rPr>
          <w:rFonts w:ascii="Times New Roman" w:hAnsi="Times New Roman" w:eastAsia="黑体" w:cs="Times New Roman"/>
          <w:spacing w:val="-11"/>
          <w:sz w:val="32"/>
          <w:szCs w:val="32"/>
        </w:rPr>
      </w:pPr>
      <w:bookmarkStart w:id="106" w:name="_Toc68253269"/>
      <w:r>
        <w:rPr>
          <w:rFonts w:hint="eastAsia" w:ascii="Times New Roman" w:hAnsi="Times New Roman" w:eastAsia="黑体" w:cs="Times New Roman"/>
          <w:spacing w:val="-11"/>
          <w:sz w:val="32"/>
          <w:szCs w:val="32"/>
        </w:rPr>
        <w:t>第九章</w:t>
      </w:r>
      <w:r>
        <w:rPr>
          <w:rFonts w:ascii="Times New Roman" w:hAnsi="Times New Roman" w:eastAsia="黑体" w:cs="Times New Roman"/>
          <w:spacing w:val="-11"/>
          <w:sz w:val="32"/>
          <w:szCs w:val="32"/>
        </w:rPr>
        <w:t xml:space="preserve">  </w:t>
      </w:r>
      <w:r>
        <w:rPr>
          <w:rFonts w:hint="eastAsia" w:ascii="Times New Roman" w:hAnsi="Times New Roman" w:eastAsia="黑体" w:cs="Times New Roman"/>
          <w:spacing w:val="-11"/>
          <w:sz w:val="32"/>
          <w:szCs w:val="32"/>
        </w:rPr>
        <w:t>持续增进民生福祉，</w:t>
      </w:r>
      <w:bookmarkEnd w:id="102"/>
      <w:bookmarkEnd w:id="103"/>
      <w:r>
        <w:rPr>
          <w:rFonts w:hint="eastAsia" w:ascii="Times New Roman" w:hAnsi="Times New Roman" w:eastAsia="黑体" w:cs="Times New Roman"/>
          <w:spacing w:val="-11"/>
          <w:sz w:val="32"/>
          <w:szCs w:val="32"/>
        </w:rPr>
        <w:t>创造富裕幸福文明健康高品质生活</w:t>
      </w:r>
      <w:bookmarkEnd w:id="104"/>
      <w:bookmarkEnd w:id="105"/>
      <w:bookmarkEnd w:id="106"/>
    </w:p>
    <w:p>
      <w:pPr>
        <w:ind w:firstLine="640" w:firstLineChars="200"/>
        <w:jc w:val="both"/>
        <w:rPr>
          <w:rFonts w:ascii="Times New Roman" w:hAnsi="Times New Roman" w:eastAsia="仿宋_GB2312" w:cs="Times New Roman"/>
          <w:kern w:val="0"/>
          <w:sz w:val="32"/>
          <w:szCs w:val="32"/>
        </w:rPr>
      </w:pPr>
      <w:bookmarkStart w:id="107" w:name="_Toc43649353"/>
      <w:bookmarkStart w:id="108" w:name="_Toc43649351"/>
      <w:r>
        <w:rPr>
          <w:rFonts w:ascii="Times New Roman" w:hAnsi="Times New Roman" w:eastAsia="仿宋_GB2312" w:cs="Times New Roman"/>
          <w:kern w:val="0"/>
          <w:sz w:val="32"/>
          <w:szCs w:val="32"/>
        </w:rPr>
        <w:t>坚持以人民为中心的发展思想，围绕“一老一小一青壮”，全力抓好普惠性、基础性、兜底性民生工作，打造全生命周期的一流公共服务体系，让改革发展成果更多更公平惠及全市人民，建设高品质生活的幸福之城、首善之区。</w:t>
      </w:r>
    </w:p>
    <w:p>
      <w:pPr>
        <w:pStyle w:val="17"/>
        <w:spacing w:beforeLines="50" w:afterLines="50"/>
        <w:ind w:firstLine="0"/>
        <w:jc w:val="center"/>
        <w:outlineLvl w:val="1"/>
        <w:rPr>
          <w:rFonts w:ascii="Times New Roman" w:hAnsi="Times New Roman" w:eastAsia="楷体_GB2312"/>
          <w:kern w:val="0"/>
          <w:sz w:val="32"/>
          <w:szCs w:val="32"/>
          <w:lang w:bidi="en-US"/>
        </w:rPr>
      </w:pPr>
      <w:bookmarkStart w:id="109" w:name="_Toc57711671"/>
      <w:bookmarkStart w:id="110" w:name="_Toc67564168"/>
      <w:bookmarkStart w:id="111" w:name="_Toc10553"/>
      <w:bookmarkStart w:id="112" w:name="_Toc18771"/>
      <w:bookmarkStart w:id="113" w:name="_Toc68253270"/>
      <w:r>
        <w:rPr>
          <w:rFonts w:ascii="Times New Roman" w:hAnsi="Times New Roman" w:eastAsia="楷体_GB2312"/>
          <w:kern w:val="0"/>
          <w:sz w:val="32"/>
          <w:szCs w:val="32"/>
          <w:lang w:bidi="en-US"/>
        </w:rPr>
        <w:t xml:space="preserve">第一节  </w:t>
      </w:r>
      <w:bookmarkEnd w:id="107"/>
      <w:bookmarkEnd w:id="109"/>
      <w:bookmarkStart w:id="114" w:name="_Toc32690"/>
      <w:r>
        <w:rPr>
          <w:rFonts w:ascii="Times New Roman" w:hAnsi="Times New Roman" w:eastAsia="楷体_GB2312"/>
          <w:kern w:val="0"/>
          <w:sz w:val="32"/>
          <w:szCs w:val="32"/>
          <w:lang w:bidi="en-US"/>
        </w:rPr>
        <w:t>实施技能富民</w:t>
      </w:r>
      <w:r>
        <w:rPr>
          <w:rFonts w:hint="eastAsia" w:ascii="Times New Roman" w:hAnsi="Times New Roman" w:eastAsia="楷体_GB2312"/>
          <w:kern w:val="0"/>
          <w:sz w:val="32"/>
          <w:szCs w:val="32"/>
          <w:lang w:bidi="en-US"/>
        </w:rPr>
        <w:t>工程</w:t>
      </w:r>
      <w:bookmarkEnd w:id="110"/>
      <w:bookmarkEnd w:id="111"/>
      <w:bookmarkEnd w:id="112"/>
      <w:bookmarkEnd w:id="113"/>
    </w:p>
    <w:bookmarkEnd w:id="114"/>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深入推进“人人持证、技能社会”基础性战略工程，提高持证率和高技能人才占比率，造就知识型、技能型、创新型劳动者大军，为高质量转型发展提供人才保证和动力源泉。</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深入实施职业技能提升工程。</w:t>
      </w:r>
      <w:r>
        <w:rPr>
          <w:rFonts w:ascii="Times New Roman" w:hAnsi="Times New Roman" w:eastAsia="仿宋_GB2312" w:cs="Times New Roman"/>
          <w:sz w:val="32"/>
          <w:szCs w:val="32"/>
        </w:rPr>
        <w:t>开展多层次、多元化职业培训，</w:t>
      </w:r>
      <w:r>
        <w:rPr>
          <w:rFonts w:ascii="Times New Roman" w:hAnsi="Times New Roman" w:eastAsia="仿宋_GB2312" w:cs="Times New Roman"/>
          <w:kern w:val="0"/>
          <w:sz w:val="32"/>
          <w:szCs w:val="32"/>
        </w:rPr>
        <w:t>提升劳动者职业技能水平，</w:t>
      </w:r>
      <w:r>
        <w:rPr>
          <w:rFonts w:ascii="Times New Roman" w:hAnsi="Times New Roman" w:eastAsia="仿宋_GB2312" w:cs="Times New Roman"/>
          <w:sz w:val="32"/>
          <w:szCs w:val="32"/>
        </w:rPr>
        <w:t>以培训促就业、以培训稳就业。运用劳动力“建档立卡”数据信息平台，进一步在“人人持证、技能社会”上提质增效。</w:t>
      </w:r>
      <w:r>
        <w:rPr>
          <w:rFonts w:ascii="Times New Roman" w:hAnsi="Times New Roman" w:eastAsia="仿宋_GB2312" w:cs="Times New Roman"/>
          <w:kern w:val="0"/>
          <w:sz w:val="32"/>
          <w:szCs w:val="32"/>
        </w:rPr>
        <w:t>坚持以训稳岗，对所有适龄劳动力持证情况建档立卡，构建“全劳动周期、全工种门类”职业技能培训体系。健全面向城乡全体劳动者的职业培训体系，落实职业培训和职业技能鉴定补贴政策，大力开展就业技能培训、岗位技能提升培训和创业培训。</w:t>
      </w:r>
      <w:r>
        <w:rPr>
          <w:rFonts w:ascii="Times New Roman" w:hAnsi="Times New Roman" w:eastAsia="仿宋_GB2312" w:cs="Times New Roman"/>
          <w:sz w:val="32"/>
          <w:szCs w:val="32"/>
        </w:rPr>
        <w:t>到2025年，对全市农村建档立卡劳动力普遍进行一次技能培训，力争从业人员持证率达30%以上。</w:t>
      </w:r>
    </w:p>
    <w:p>
      <w:pPr>
        <w:tabs>
          <w:tab w:val="left" w:pos="943"/>
        </w:tabs>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推动中高端技能人才培养。</w:t>
      </w:r>
      <w:r>
        <w:rPr>
          <w:rFonts w:ascii="Times New Roman" w:hAnsi="Times New Roman" w:eastAsia="仿宋_GB2312" w:cs="Times New Roman"/>
          <w:sz w:val="32"/>
          <w:szCs w:val="32"/>
        </w:rPr>
        <w:t>实施技能人才振兴计划，</w:t>
      </w:r>
      <w:r>
        <w:rPr>
          <w:rFonts w:ascii="Times New Roman" w:hAnsi="Times New Roman" w:eastAsia="仿宋_GB2312" w:cs="Times New Roman"/>
          <w:kern w:val="0"/>
          <w:sz w:val="32"/>
          <w:szCs w:val="32"/>
        </w:rPr>
        <w:t>依托我市职业技能学校，加大技术人才培训力度，扎实推进校企合作，树立“永济技工”品牌。</w:t>
      </w:r>
      <w:r>
        <w:rPr>
          <w:rFonts w:ascii="Times New Roman" w:hAnsi="Times New Roman" w:eastAsia="仿宋_GB2312" w:cs="Times New Roman"/>
          <w:sz w:val="32"/>
          <w:szCs w:val="32"/>
        </w:rPr>
        <w:t>以考证持证为标准，持续深化产教融合、供需对接，开展全民技能分类培训工作，实行订单式、菜单式培训，实施初级-中级-高级梯次培训，造就一支实用型、技能型、创新型中高端技能人才。实施乡土人才“名师带徒”工程，打造乡土人才传承示范基地和大师工作室，吸纳青年人才进入工作室，培育一批乡土技能人才。到2025年，</w:t>
      </w:r>
      <w:r>
        <w:rPr>
          <w:rFonts w:hint="eastAsia" w:ascii="Times New Roman" w:hAnsi="Times New Roman" w:eastAsia="仿宋_GB2312" w:cs="Times New Roman"/>
          <w:sz w:val="32"/>
          <w:szCs w:val="32"/>
        </w:rPr>
        <w:t>完成各类就业技能培训5万人，全市高技能人才总量达到2200人，</w:t>
      </w:r>
      <w:r>
        <w:rPr>
          <w:rFonts w:ascii="Times New Roman" w:hAnsi="Times New Roman" w:eastAsia="仿宋_GB2312" w:cs="Times New Roman"/>
          <w:sz w:val="32"/>
          <w:szCs w:val="32"/>
        </w:rPr>
        <w:t>中高级以上技能人员持证率达到80%左右。</w:t>
      </w:r>
    </w:p>
    <w:p>
      <w:pPr>
        <w:spacing w:beforeLines="50" w:afterLines="50"/>
        <w:jc w:val="center"/>
        <w:outlineLvl w:val="1"/>
        <w:rPr>
          <w:rFonts w:ascii="Times New Roman" w:hAnsi="Times New Roman" w:eastAsia="楷体_GB2312" w:cs="Times New Roman"/>
          <w:kern w:val="0"/>
          <w:sz w:val="32"/>
          <w:szCs w:val="32"/>
          <w:lang w:bidi="en-US"/>
        </w:rPr>
      </w:pPr>
      <w:bookmarkStart w:id="115" w:name="_Toc67564169"/>
      <w:bookmarkStart w:id="116" w:name="_Toc68253271"/>
      <w:r>
        <w:rPr>
          <w:rFonts w:ascii="Times New Roman" w:hAnsi="Times New Roman" w:eastAsia="楷体_GB2312" w:cs="Times New Roman"/>
          <w:kern w:val="0"/>
          <w:sz w:val="32"/>
          <w:szCs w:val="32"/>
          <w:lang w:bidi="en-US"/>
        </w:rPr>
        <w:t>第二节</w:t>
      </w:r>
      <w:r>
        <w:rPr>
          <w:rFonts w:hint="eastAsia" w:ascii="Times New Roman" w:hAnsi="Times New Roman" w:eastAsia="楷体_GB2312" w:cs="Times New Roman"/>
          <w:kern w:val="0"/>
          <w:sz w:val="32"/>
          <w:szCs w:val="32"/>
          <w:lang w:bidi="en-US"/>
        </w:rPr>
        <w:t xml:space="preserve">  </w:t>
      </w:r>
      <w:r>
        <w:rPr>
          <w:rFonts w:ascii="Times New Roman" w:hAnsi="Times New Roman" w:eastAsia="楷体_GB2312" w:cs="Times New Roman"/>
          <w:kern w:val="0"/>
          <w:sz w:val="32"/>
          <w:szCs w:val="32"/>
          <w:lang w:bidi="en-US"/>
        </w:rPr>
        <w:t>促进高质量充分就业</w:t>
      </w:r>
      <w:bookmarkEnd w:id="115"/>
      <w:bookmarkEnd w:id="116"/>
    </w:p>
    <w:p>
      <w:pPr>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坚持把就业增长放在经济社会发展的突出位置，以创业带动就业，加强对新业态就业以及灵活就业的支持，进一步提升就业质量、稳定就业局势。</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突出做好重点群体就业工作。</w:t>
      </w:r>
      <w:r>
        <w:rPr>
          <w:rFonts w:ascii="Times New Roman" w:hAnsi="Times New Roman" w:eastAsia="仿宋_GB2312" w:cs="Times New Roman"/>
          <w:sz w:val="32"/>
          <w:szCs w:val="32"/>
        </w:rPr>
        <w:t>健全高校毕业生就业工作支持机制，引导高校毕业生、退役军人到城乡基层、中小企业和非公企业就业。</w:t>
      </w:r>
      <w:r>
        <w:rPr>
          <w:rFonts w:ascii="Times New Roman" w:hAnsi="Times New Roman" w:eastAsia="仿宋_GB2312" w:cs="Times New Roman"/>
          <w:kern w:val="0"/>
          <w:sz w:val="32"/>
          <w:szCs w:val="32"/>
        </w:rPr>
        <w:t>建立健全农民工就业工作体系，鼓励农民工就近就地转移。加强就业困难群体的就业援助，采取政府购买公益性岗位等措施，对城镇零就业家庭、困难家庭高校毕业生等实施托底安置，确保城镇零就业家庭动态清零。到2025年，全市新增就业3万人、就业创业培训3000人，城镇</w:t>
      </w:r>
      <w:r>
        <w:rPr>
          <w:rFonts w:hint="eastAsia" w:ascii="Times New Roman" w:hAnsi="Times New Roman" w:eastAsia="仿宋_GB2312" w:cs="Times New Roman"/>
          <w:kern w:val="0"/>
          <w:sz w:val="32"/>
          <w:szCs w:val="32"/>
        </w:rPr>
        <w:t>调查</w:t>
      </w:r>
      <w:r>
        <w:rPr>
          <w:rFonts w:ascii="Times New Roman" w:hAnsi="Times New Roman" w:eastAsia="仿宋_GB2312" w:cs="Times New Roman"/>
          <w:kern w:val="0"/>
          <w:sz w:val="32"/>
          <w:szCs w:val="32"/>
        </w:rPr>
        <w:t>失业率控制在3.8%以内。</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支持灵活就业和新业态创业就业。</w:t>
      </w:r>
      <w:r>
        <w:rPr>
          <w:rFonts w:ascii="Times New Roman" w:hAnsi="Times New Roman" w:eastAsia="仿宋_GB2312" w:cs="Times New Roman"/>
          <w:kern w:val="0"/>
          <w:sz w:val="32"/>
          <w:szCs w:val="32"/>
        </w:rPr>
        <w:t>多渠道开发就业岗位，合理设定无固定经营场所摊贩管理模式，开辟自由市场、摊点群、夜市等经营网点，引导人民群众灵活就业。积极巩固和培育创业孵化基地、扶贫车间、创业园区等载体，借助电商、微商等新业态新模式开展各类就业创业活动。推动设立返乡创业园，加快构建创业指导、项目开发、注册登记、投资融资、风险评估“一站式”创业服务体系。</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构建完善的就业创业服务体系。</w:t>
      </w:r>
      <w:r>
        <w:rPr>
          <w:rFonts w:ascii="Times New Roman" w:hAnsi="Times New Roman" w:eastAsia="仿宋_GB2312" w:cs="Times New Roman"/>
          <w:kern w:val="0"/>
          <w:sz w:val="32"/>
          <w:szCs w:val="32"/>
        </w:rPr>
        <w:t>加强基层公共就业服务机构建设，推动就业信息监测平台和就业信息公共服务平台建设，强化农村公共就业服务功能，构建镇（街道）、社区（村）互联的公共就业服务体系。完善人力资源市场的服务功能，提升市场服务就业的效率和质量。充分发挥协调劳动关系三方机制作用，深入开展和谐劳动关系创建活动，健全劳动关系预测预警体系和突发事件应急处置机制。</w:t>
      </w:r>
    </w:p>
    <w:p>
      <w:pPr>
        <w:spacing w:beforeLines="50" w:afterLines="50"/>
        <w:jc w:val="center"/>
        <w:outlineLvl w:val="1"/>
        <w:rPr>
          <w:rFonts w:ascii="Times New Roman" w:hAnsi="Times New Roman" w:eastAsia="楷体_GB2312" w:cs="Times New Roman"/>
          <w:kern w:val="0"/>
          <w:sz w:val="32"/>
          <w:szCs w:val="32"/>
          <w:lang w:bidi="en-US"/>
        </w:rPr>
      </w:pPr>
      <w:bookmarkStart w:id="117" w:name="_Toc57711672"/>
      <w:bookmarkStart w:id="118" w:name="_Toc5722"/>
      <w:bookmarkStart w:id="119" w:name="_Toc68253272"/>
      <w:bookmarkStart w:id="120" w:name="_Toc67564170"/>
      <w:bookmarkStart w:id="121" w:name="_Toc24128"/>
      <w:r>
        <w:rPr>
          <w:rFonts w:ascii="Times New Roman" w:hAnsi="Times New Roman" w:eastAsia="楷体_GB2312" w:cs="Times New Roman"/>
          <w:kern w:val="0"/>
          <w:sz w:val="32"/>
          <w:szCs w:val="32"/>
          <w:lang w:bidi="en-US"/>
        </w:rPr>
        <w:t>第三节</w:t>
      </w:r>
      <w:bookmarkEnd w:id="108"/>
      <w:bookmarkEnd w:id="117"/>
      <w:bookmarkEnd w:id="118"/>
      <w:r>
        <w:rPr>
          <w:rFonts w:hint="eastAsia" w:ascii="Times New Roman" w:hAnsi="Times New Roman" w:eastAsia="楷体_GB2312" w:cs="Times New Roman"/>
          <w:kern w:val="0"/>
          <w:sz w:val="32"/>
          <w:szCs w:val="32"/>
          <w:lang w:bidi="en-US"/>
        </w:rPr>
        <w:t xml:space="preserve">  办好人民满意教育</w:t>
      </w:r>
      <w:bookmarkEnd w:id="119"/>
      <w:bookmarkEnd w:id="120"/>
      <w:bookmarkEnd w:id="121"/>
    </w:p>
    <w:p>
      <w:pPr>
        <w:ind w:firstLine="640" w:firstLineChars="200"/>
        <w:jc w:val="both"/>
        <w:rPr>
          <w:rFonts w:ascii="仿宋" w:hAnsi="仿宋" w:eastAsia="仿宋" w:cs="仿宋"/>
          <w:sz w:val="32"/>
          <w:szCs w:val="32"/>
        </w:rPr>
      </w:pPr>
      <w:bookmarkStart w:id="122" w:name="_Toc67564171"/>
      <w:bookmarkStart w:id="123" w:name="_Toc43649352"/>
      <w:bookmarkStart w:id="124" w:name="_Toc1021"/>
      <w:bookmarkStart w:id="125" w:name="_Toc7585"/>
      <w:bookmarkStart w:id="126" w:name="_Toc57711673"/>
      <w:bookmarkStart w:id="127" w:name="_Toc68253273"/>
      <w:r>
        <w:rPr>
          <w:rFonts w:hint="eastAsia" w:ascii="仿宋" w:hAnsi="仿宋" w:eastAsia="仿宋" w:cs="仿宋"/>
          <w:sz w:val="32"/>
          <w:szCs w:val="32"/>
        </w:rPr>
        <w:t>全面贯彻党的教育方针，坚持教育优先发展战略，坚持教育公益性原则，深化教育改革，促进教育公平，完善教育保障，努力让每个孩子都能享有公平而有质量的教育。到2025年，构建创新型开放式高质量现代教育体系。</w:t>
      </w:r>
    </w:p>
    <w:p>
      <w:pPr>
        <w:ind w:firstLine="643" w:firstLineChars="200"/>
        <w:jc w:val="both"/>
        <w:rPr>
          <w:rFonts w:ascii="仿宋" w:hAnsi="仿宋" w:eastAsia="仿宋" w:cs="仿宋"/>
          <w:sz w:val="32"/>
          <w:szCs w:val="32"/>
        </w:rPr>
      </w:pPr>
      <w:r>
        <w:rPr>
          <w:rFonts w:hint="eastAsia" w:ascii="仿宋" w:hAnsi="仿宋" w:eastAsia="仿宋" w:cs="仿宋"/>
          <w:b/>
          <w:bCs/>
          <w:sz w:val="32"/>
          <w:szCs w:val="32"/>
        </w:rPr>
        <w:t>推动学前教育普惠发展。</w:t>
      </w:r>
      <w:r>
        <w:rPr>
          <w:rFonts w:hint="eastAsia" w:ascii="仿宋" w:hAnsi="仿宋" w:eastAsia="仿宋" w:cs="仿宋"/>
          <w:sz w:val="32"/>
          <w:szCs w:val="32"/>
        </w:rPr>
        <w:t>坚持“政府主导、改革创新、规范管理”的原则，普惠优质发展学前教育，实施镇（街道）中心园达标工程，深化办园模式改革，建成广覆盖、保基本、有质量的学前教育公共服务体系。到2025年，新（改、扩）建13所公办幼儿园，全市一类幼儿园达到20所。大力发展农村学前教育，每个镇（街道）原则上至少办好1所标准化的公办中心园。</w:t>
      </w:r>
    </w:p>
    <w:p>
      <w:pPr>
        <w:ind w:firstLine="643" w:firstLineChars="200"/>
        <w:jc w:val="both"/>
        <w:rPr>
          <w:rFonts w:ascii="仿宋" w:hAnsi="仿宋" w:eastAsia="仿宋" w:cs="仿宋"/>
          <w:sz w:val="32"/>
          <w:szCs w:val="32"/>
        </w:rPr>
      </w:pPr>
      <w:r>
        <w:rPr>
          <w:rFonts w:hint="eastAsia" w:ascii="仿宋" w:hAnsi="仿宋" w:eastAsia="仿宋" w:cs="仿宋"/>
          <w:b/>
          <w:bCs/>
          <w:sz w:val="32"/>
          <w:szCs w:val="32"/>
        </w:rPr>
        <w:t>推动义务教育和高中教育优质均衡发展。</w:t>
      </w:r>
      <w:r>
        <w:rPr>
          <w:rFonts w:hint="eastAsia" w:ascii="仿宋" w:hAnsi="仿宋" w:eastAsia="仿宋" w:cs="仿宋"/>
          <w:sz w:val="32"/>
          <w:szCs w:val="32"/>
        </w:rPr>
        <w:t>深化义务教育城乡一体化办学模式改革，提高义务教育优质化、均衡化和普惠水平。坚持就近就便服从就优的原则办好教育，优化学校布局，扩充优质教育资源，投入使用柳宗元小学，搬迁并改扩建北郊小学，在涑北中学和永济三中分别设立初中部，推动农村初中向城区集中。到2025年，每个镇（街道）打造2所高标准的寄宿制学校，实现小学向镇（街道）集中。</w:t>
      </w:r>
      <w:r>
        <w:rPr>
          <w:rFonts w:hint="eastAsia" w:ascii="仿宋" w:hAnsi="仿宋" w:eastAsia="仿宋" w:cs="仿宋"/>
          <w:color w:val="000000"/>
          <w:sz w:val="32"/>
          <w:szCs w:val="32"/>
        </w:rPr>
        <w:t>鼓励高中多样化发展，推进高中特色品牌建设，</w:t>
      </w:r>
      <w:r>
        <w:rPr>
          <w:rFonts w:hint="eastAsia" w:ascii="仿宋" w:hAnsi="仿宋" w:eastAsia="仿宋" w:cs="仿宋"/>
          <w:sz w:val="32"/>
          <w:szCs w:val="32"/>
        </w:rPr>
        <w:t>全面改善提升三所高中办学条件，探索高中与名校联合办学模式，提升高中教育优质化水平。加强运动场地建设，推广和普及校园足球，大力推进全国校园足球试点县工作。积极创建国家数字校园示范校，全力推进智慧校园建设。加强市特殊教育学校建设，保障特殊群体公平接受义务教育。</w:t>
      </w:r>
    </w:p>
    <w:p>
      <w:pPr>
        <w:ind w:firstLine="643" w:firstLineChars="200"/>
        <w:jc w:val="both"/>
        <w:rPr>
          <w:rFonts w:ascii="仿宋" w:hAnsi="仿宋" w:eastAsia="仿宋" w:cs="仿宋"/>
          <w:sz w:val="32"/>
          <w:szCs w:val="32"/>
        </w:rPr>
      </w:pPr>
      <w:r>
        <w:rPr>
          <w:rFonts w:hint="eastAsia" w:ascii="仿宋" w:hAnsi="仿宋" w:eastAsia="仿宋" w:cs="仿宋"/>
          <w:b/>
          <w:bCs/>
          <w:sz w:val="32"/>
          <w:szCs w:val="32"/>
        </w:rPr>
        <w:t>加快发展现代职业教育。</w:t>
      </w:r>
      <w:r>
        <w:rPr>
          <w:rFonts w:hint="eastAsia" w:ascii="仿宋" w:hAnsi="仿宋" w:eastAsia="仿宋" w:cs="仿宋"/>
          <w:sz w:val="32"/>
          <w:szCs w:val="32"/>
        </w:rPr>
        <w:t>实施中职改革示范校和产教融合基地建设，紧密对接人才市场和产业发展需求，实施专业设置动态调整机制，建设1个省级高水平实训基地和2个省级高水平重点专业，构建完善现代职业教育和培训体系。多措并举打造“双师型”教师队伍，推动企业工程技术人员和高技能人才担任兼职教师，“双师型”占比达到60％。积极推进“1＋X”证书制度试点工作，与专业建设、课程构建、师资培养有机衔接，高质量完成山西省中等职业教育改革发展示范校建设任务。</w:t>
      </w:r>
    </w:p>
    <w:p>
      <w:pPr>
        <w:ind w:firstLine="643" w:firstLineChars="200"/>
        <w:jc w:val="both"/>
        <w:rPr>
          <w:rFonts w:ascii="仿宋" w:hAnsi="仿宋" w:eastAsia="仿宋" w:cs="仿宋"/>
          <w:sz w:val="32"/>
          <w:szCs w:val="32"/>
        </w:rPr>
      </w:pPr>
      <w:r>
        <w:rPr>
          <w:rFonts w:hint="eastAsia" w:ascii="仿宋" w:hAnsi="仿宋" w:eastAsia="仿宋" w:cs="仿宋"/>
          <w:b/>
          <w:bCs/>
          <w:sz w:val="32"/>
          <w:szCs w:val="32"/>
        </w:rPr>
        <w:t>深入推进教育领域改革。</w:t>
      </w:r>
      <w:r>
        <w:rPr>
          <w:rFonts w:hint="eastAsia" w:ascii="仿宋" w:hAnsi="仿宋" w:eastAsia="仿宋" w:cs="仿宋"/>
          <w:sz w:val="32"/>
          <w:szCs w:val="32"/>
        </w:rPr>
        <w:t>坚持立德树人，加强师德师风建设，健全学校、家庭、社会协同育人机制，重视青少年身体素质和心理健康教育，培养德智体美劳全面发展的社会主义建设者和接班人。推行校长任期制和交流制，积极推进义务教育学校教师交流轮岗工作，巩固中小学、幼儿园教师“县管校聘”管理改革成果。理顺民办中小学党建工作管理体制机制，规范发展民办教育，规范校外培训机构。建立多层次多样化的教师培训体系，用足用好“国培计划”项目，大力实施“市培计划”，促进教师专业发展。积极开展在线教育，构建完善终身学习体系，大力建设学习型社会。</w:t>
      </w:r>
    </w:p>
    <w:p>
      <w:pPr>
        <w:pStyle w:val="17"/>
        <w:spacing w:beforeLines="50" w:afterLines="50"/>
        <w:ind w:firstLine="0"/>
        <w:jc w:val="center"/>
        <w:outlineLvl w:val="1"/>
        <w:rPr>
          <w:rFonts w:ascii="Times New Roman" w:hAnsi="Times New Roman" w:eastAsia="楷体_GB2312"/>
          <w:kern w:val="0"/>
          <w:sz w:val="32"/>
          <w:szCs w:val="32"/>
          <w:lang w:bidi="en-US"/>
        </w:rPr>
      </w:pPr>
      <w:r>
        <w:rPr>
          <w:rFonts w:ascii="Times New Roman" w:hAnsi="Times New Roman" w:eastAsia="楷体_GB2312"/>
          <w:kern w:val="0"/>
          <w:sz w:val="32"/>
          <w:szCs w:val="32"/>
          <w:lang w:bidi="en-US"/>
        </w:rPr>
        <w:t xml:space="preserve">第四节  </w:t>
      </w:r>
      <w:bookmarkEnd w:id="122"/>
      <w:bookmarkEnd w:id="123"/>
      <w:bookmarkEnd w:id="124"/>
      <w:bookmarkEnd w:id="125"/>
      <w:bookmarkEnd w:id="126"/>
      <w:r>
        <w:rPr>
          <w:rFonts w:hint="eastAsia" w:ascii="Times New Roman" w:hAnsi="Times New Roman" w:eastAsia="楷体_GB2312"/>
          <w:kern w:val="0"/>
          <w:sz w:val="32"/>
          <w:szCs w:val="32"/>
          <w:lang w:bidi="en-US"/>
        </w:rPr>
        <w:t>提升医疗服务水平</w:t>
      </w:r>
      <w:bookmarkEnd w:id="127"/>
    </w:p>
    <w:p>
      <w:pPr>
        <w:ind w:firstLine="640" w:firstLineChars="200"/>
        <w:jc w:val="both"/>
        <w:rPr>
          <w:rFonts w:ascii="Times New Roman" w:hAnsi="Times New Roman" w:eastAsia="仿宋_GB2312" w:cs="Times New Roman"/>
          <w:kern w:val="0"/>
          <w:sz w:val="32"/>
          <w:szCs w:val="32"/>
        </w:rPr>
      </w:pPr>
      <w:bookmarkStart w:id="128" w:name="_Toc43649354"/>
      <w:r>
        <w:rPr>
          <w:rFonts w:ascii="Times New Roman" w:hAnsi="Times New Roman" w:eastAsia="仿宋_GB2312" w:cs="Times New Roman"/>
          <w:kern w:val="0"/>
          <w:sz w:val="32"/>
          <w:szCs w:val="32"/>
        </w:rPr>
        <w:t>围绕建设“健康永济”的主线，坚持以促健康、转模式、强基层、重保障为着力点，将健康融入所有政策，推进以治病为中心向以人民健康为中心转变，为人民群众提供全方位全周期健康服务。</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健全医疗卫生服务体系。</w:t>
      </w:r>
      <w:r>
        <w:rPr>
          <w:rFonts w:ascii="Times New Roman" w:hAnsi="Times New Roman" w:eastAsia="仿宋_GB2312" w:cs="Times New Roman"/>
          <w:sz w:val="32"/>
          <w:szCs w:val="32"/>
        </w:rPr>
        <w:t>加快基本公共卫生健康服务均等化，建立“未病早预防、小病就近看、大病能会诊、慢病有管理、转诊帮对接”的覆盖面广、功能完善的整合型医疗卫生服务体系。完善市、镇、村（社区）三级医疗卫生服务网络，推进镇村两级医疗机构标准化建设，抓好示范村卫生室</w:t>
      </w:r>
      <w:r>
        <w:rPr>
          <w:rFonts w:hint="eastAsia" w:ascii="Times New Roman" w:hAnsi="Times New Roman" w:eastAsia="仿宋_GB2312" w:cs="Times New Roman"/>
          <w:sz w:val="32"/>
          <w:szCs w:val="32"/>
        </w:rPr>
        <w:t>标准化“六统一”</w:t>
      </w:r>
      <w:r>
        <w:rPr>
          <w:rFonts w:ascii="Times New Roman" w:hAnsi="Times New Roman" w:eastAsia="仿宋_GB2312" w:cs="Times New Roman"/>
          <w:sz w:val="32"/>
          <w:szCs w:val="32"/>
        </w:rPr>
        <w:t>建设。坚持预防为主方针，稳步扩展公共卫生服务项目。实施妇女儿童疾病防治和预防伤害行动。推动家庭医生签约服务落地见效。支持将老年康复、老年护理、安宁疗护等延伸到基层医疗卫生机构。深入开展爱国卫生运动，开展全民健康教育，普及健康生活。</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提升全市医疗卫生水平。</w:t>
      </w:r>
      <w:r>
        <w:rPr>
          <w:rFonts w:ascii="Times New Roman" w:hAnsi="Times New Roman" w:eastAsia="仿宋_GB2312" w:cs="Times New Roman"/>
          <w:sz w:val="32"/>
          <w:szCs w:val="32"/>
        </w:rPr>
        <w:t>坚持“三医联动”，统筹推进现代医院管理、全民医保、药品供应保障、综合监管。构建科学、有序、便捷的分级诊疗格局，推动医疗集团与三甲医院、专科联盟、远程会诊医疗业务对接。推进市人民医院整体搬迁项目，建设市妇幼保健计划生育服务中心新院（市儿童医院）。到2025年，在全市医疗机构中新建市级临床重点专科10个，争创省级临床重点专科3个。推动我市非公立医疗机构规范发展，组建专业性医院管理集团。</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实施中医药振兴工程。</w:t>
      </w:r>
      <w:r>
        <w:rPr>
          <w:rFonts w:ascii="Times New Roman" w:hAnsi="Times New Roman" w:eastAsia="仿宋_GB2312" w:cs="Times New Roman"/>
          <w:sz w:val="32"/>
          <w:szCs w:val="32"/>
        </w:rPr>
        <w:t>以市中医医院为依托，建设完善中医医疗和预防保健服务中心、中医医疗服务体系，合理有序引导社会力量投资兴办中医医疗、预防保健服务机构。强化市中医医院中医特色和优势，力争达到三级医院标准。推动各镇卫生院和社区卫生服务中心打造中医药综合服务区，发挥好中医药的特色优势。到2025年，全市所有基层卫生服务机构具备中医药服务能力。</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bookmarkStart w:id="129" w:name="_Toc17323"/>
      <w:bookmarkStart w:id="130" w:name="_Toc33780634"/>
      <w:r>
        <w:rPr>
          <w:rFonts w:ascii="Times New Roman" w:hAnsi="Times New Roman" w:eastAsia="仿宋_GB2312" w:cs="Times New Roman"/>
          <w:b/>
          <w:bCs/>
          <w:sz w:val="32"/>
          <w:szCs w:val="32"/>
        </w:rPr>
        <w:t>深化医疗卫生体制改革。</w:t>
      </w:r>
      <w:r>
        <w:rPr>
          <w:rFonts w:ascii="Times New Roman" w:hAnsi="Times New Roman" w:eastAsia="仿宋_GB2312" w:cs="Times New Roman"/>
          <w:sz w:val="32"/>
          <w:szCs w:val="32"/>
        </w:rPr>
        <w:t>持续推进</w:t>
      </w:r>
      <w:r>
        <w:rPr>
          <w:rFonts w:hint="eastAsia" w:ascii="Times New Roman" w:hAnsi="Times New Roman" w:eastAsia="仿宋_GB2312" w:cs="Times New Roman"/>
          <w:sz w:val="32"/>
          <w:szCs w:val="32"/>
        </w:rPr>
        <w:t>县镇</w:t>
      </w:r>
      <w:r>
        <w:rPr>
          <w:rFonts w:ascii="Times New Roman" w:hAnsi="Times New Roman" w:eastAsia="仿宋_GB2312" w:cs="Times New Roman"/>
          <w:sz w:val="32"/>
          <w:szCs w:val="32"/>
        </w:rPr>
        <w:t>医疗卫生一体化改革，</w:t>
      </w:r>
      <w:r>
        <w:rPr>
          <w:rFonts w:hint="eastAsia" w:ascii="Times New Roman" w:hAnsi="Times New Roman" w:eastAsia="仿宋_GB2312" w:cs="Times New Roman"/>
          <w:sz w:val="32"/>
          <w:szCs w:val="32"/>
        </w:rPr>
        <w:t>推进</w:t>
      </w:r>
      <w:r>
        <w:rPr>
          <w:rFonts w:ascii="Times New Roman" w:hAnsi="Times New Roman" w:eastAsia="仿宋_GB2312" w:cs="Times New Roman"/>
          <w:sz w:val="32"/>
          <w:szCs w:val="32"/>
        </w:rPr>
        <w:t>紧密型市域医共体建设试点。推动镇卫生院对村卫生室实施行政、人员、业务、药品器械、财务、绩效等“六统一”一体化管理。稳定基层医疗卫生人才队伍，提高镇卫生院、行政村医务人员薪酬待遇。</w:t>
      </w:r>
      <w:r>
        <w:rPr>
          <w:rFonts w:hint="eastAsia" w:ascii="Times New Roman" w:hAnsi="Times New Roman" w:eastAsia="仿宋_GB2312" w:cs="Times New Roman"/>
          <w:sz w:val="32"/>
          <w:szCs w:val="32"/>
        </w:rPr>
        <w:t>实施乡村医生素质提升计划，</w:t>
      </w:r>
      <w:r>
        <w:rPr>
          <w:rFonts w:ascii="Times New Roman" w:hAnsi="Times New Roman" w:eastAsia="仿宋_GB2312" w:cs="Times New Roman"/>
          <w:sz w:val="32"/>
          <w:szCs w:val="32"/>
        </w:rPr>
        <w:t>每个行政村选聘一名社群健康助理员，作为村医队伍的补充。深入推进公立医院改革</w:t>
      </w:r>
      <w:bookmarkEnd w:id="129"/>
      <w:bookmarkEnd w:id="130"/>
      <w:r>
        <w:rPr>
          <w:rFonts w:ascii="Times New Roman" w:hAnsi="Times New Roman" w:eastAsia="仿宋_GB2312" w:cs="Times New Roman"/>
          <w:sz w:val="32"/>
          <w:szCs w:val="32"/>
        </w:rPr>
        <w:t>，建立符合行业特点的薪酬制度和现代医院管理制度。</w:t>
      </w:r>
      <w:r>
        <w:rPr>
          <w:rFonts w:hint="eastAsia" w:ascii="Times New Roman" w:hAnsi="Times New Roman" w:eastAsia="仿宋_GB2312" w:cs="Times New Roman"/>
          <w:sz w:val="32"/>
          <w:szCs w:val="32"/>
        </w:rPr>
        <w:t>深入实施药品耗材带量采购制度，以公立医疗机构为集中带量采购主体，鼓励非公立医疗机构、社会药店等积极参与，形成可持续的激励机制，使人民享有高质量、有效率、能负担的医药服务</w:t>
      </w:r>
      <w:r>
        <w:rPr>
          <w:rFonts w:ascii="Times New Roman" w:hAnsi="Times New Roman" w:eastAsia="仿宋_GB2312" w:cs="Times New Roman"/>
          <w:sz w:val="32"/>
          <w:szCs w:val="32"/>
        </w:rPr>
        <w:t>。整合各医院内部信息系统，推进建立利益共同分享、责任共同分担、事业共同发展、技术共同提高的特色智慧医疗。</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提升公共卫生应急处置能力。</w:t>
      </w:r>
      <w:r>
        <w:rPr>
          <w:rFonts w:ascii="Times New Roman" w:hAnsi="Times New Roman" w:eastAsia="仿宋_GB2312" w:cs="Times New Roman"/>
          <w:sz w:val="32"/>
          <w:szCs w:val="32"/>
        </w:rPr>
        <w:t>坚持预防为主的方针，从源头消除影响健康的各种隐患。加强疾病预防控制体系建设，完善传染病监测预警机制。强化计划免疫工作，认真落实预防接种措施，0-6岁儿童国家免疫规划接种率保持在95%以上。加大乙肝、艾滋病、结核病等的防治力度。建立健全突发公共卫生事件应急体系，制订和完善各类重大公共卫生事件应急预案，提高现场快速处置能力。加强以流行病学调查、医疗救治等人员为主的应急反应队伍建设，强化应急反应演练、培训。提高卫生应急管理人员专业化水平，增强突发公共卫生事件及突发事件所需基本应急装备、设备保障。</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构建多元化全民健身服务体系。</w:t>
      </w:r>
      <w:r>
        <w:rPr>
          <w:rFonts w:ascii="Times New Roman" w:hAnsi="Times New Roman" w:eastAsia="仿宋_GB2312" w:cs="Times New Roman"/>
          <w:sz w:val="32"/>
          <w:szCs w:val="32"/>
        </w:rPr>
        <w:t>认真落实全民健身国家战略，</w:t>
      </w:r>
      <w:r>
        <w:rPr>
          <w:rFonts w:hint="eastAsia" w:ascii="Times New Roman" w:hAnsi="Times New Roman" w:eastAsia="仿宋_GB2312" w:cs="Times New Roman"/>
          <w:sz w:val="32"/>
          <w:szCs w:val="32"/>
        </w:rPr>
        <w:t>配齐沿黄旅游公路休闲健身设施，</w:t>
      </w:r>
      <w:r>
        <w:rPr>
          <w:rFonts w:ascii="Times New Roman" w:hAnsi="Times New Roman" w:eastAsia="仿宋_GB2312" w:cs="Times New Roman"/>
          <w:sz w:val="32"/>
          <w:szCs w:val="32"/>
        </w:rPr>
        <w:t>建设中条山南部浅山区健身（登山）步道</w:t>
      </w:r>
      <w:r>
        <w:rPr>
          <w:rFonts w:hint="eastAsia" w:ascii="Times New Roman" w:hAnsi="Times New Roman" w:eastAsia="仿宋_GB2312" w:cs="Times New Roman"/>
          <w:sz w:val="32"/>
          <w:szCs w:val="32"/>
        </w:rPr>
        <w:t>及户外露营营地。</w:t>
      </w:r>
      <w:r>
        <w:rPr>
          <w:rFonts w:ascii="Times New Roman" w:hAnsi="Times New Roman" w:eastAsia="仿宋_GB2312" w:cs="Times New Roman"/>
          <w:sz w:val="32"/>
          <w:szCs w:val="32"/>
        </w:rPr>
        <w:t>推动体育中心“一场三馆”开放运营</w:t>
      </w:r>
      <w:r>
        <w:rPr>
          <w:rFonts w:hint="eastAsia" w:ascii="Times New Roman" w:hAnsi="Times New Roman" w:eastAsia="仿宋_GB2312" w:cs="Times New Roman"/>
          <w:sz w:val="32"/>
          <w:szCs w:val="32"/>
        </w:rPr>
        <w:t>。在中国传统武术</w:t>
      </w:r>
      <w:r>
        <w:rPr>
          <w:rFonts w:ascii="Times New Roman" w:hAnsi="Times New Roman" w:eastAsia="仿宋_GB2312" w:cs="Times New Roman"/>
          <w:sz w:val="32"/>
          <w:szCs w:val="32"/>
        </w:rPr>
        <w:t>形意拳</w:t>
      </w:r>
      <w:r>
        <w:rPr>
          <w:rFonts w:hint="eastAsia" w:ascii="Times New Roman" w:hAnsi="Times New Roman" w:eastAsia="仿宋_GB2312" w:cs="Times New Roman"/>
          <w:sz w:val="32"/>
          <w:szCs w:val="32"/>
        </w:rPr>
        <w:t>创始人姬际可故里改扩建形意拳</w:t>
      </w:r>
      <w:r>
        <w:rPr>
          <w:rFonts w:ascii="Times New Roman" w:hAnsi="Times New Roman" w:eastAsia="仿宋_GB2312" w:cs="Times New Roman"/>
          <w:sz w:val="32"/>
          <w:szCs w:val="32"/>
        </w:rPr>
        <w:t>纪念馆</w:t>
      </w:r>
      <w:r>
        <w:rPr>
          <w:rFonts w:hint="eastAsia" w:ascii="Times New Roman" w:hAnsi="Times New Roman" w:eastAsia="仿宋_GB2312" w:cs="Times New Roman"/>
          <w:sz w:val="32"/>
          <w:szCs w:val="32"/>
        </w:rPr>
        <w:t>，在市区积极发展</w:t>
      </w:r>
      <w:r>
        <w:rPr>
          <w:rFonts w:ascii="Times New Roman" w:hAnsi="Times New Roman" w:eastAsia="仿宋_GB2312" w:cs="Times New Roman"/>
          <w:sz w:val="32"/>
          <w:szCs w:val="32"/>
        </w:rPr>
        <w:t>滑冰</w:t>
      </w:r>
      <w:r>
        <w:rPr>
          <w:rFonts w:hint="eastAsia" w:ascii="Times New Roman" w:hAnsi="Times New Roman" w:eastAsia="仿宋_GB2312" w:cs="Times New Roman"/>
          <w:sz w:val="32"/>
          <w:szCs w:val="32"/>
        </w:rPr>
        <w:t>及冰球运动项目，鼓励社会资本按三星标准建设汽车露营营地。依托五老峰滑翔伞基地，</w:t>
      </w:r>
      <w:r>
        <w:rPr>
          <w:rFonts w:ascii="Times New Roman" w:hAnsi="Times New Roman" w:eastAsia="仿宋_GB2312" w:cs="Times New Roman"/>
          <w:sz w:val="32"/>
          <w:szCs w:val="32"/>
        </w:rPr>
        <w:t>新建五老峰航空运动小镇。建设舜帝山智慧体育公园。建设6个智能化、个性化、互联互通的社区健身中心和街头篮球场等运动场地。</w:t>
      </w:r>
    </w:p>
    <w:bookmarkEnd w:id="128"/>
    <w:p>
      <w:pPr>
        <w:pStyle w:val="17"/>
        <w:spacing w:beforeLines="50" w:afterLines="50"/>
        <w:ind w:firstLine="0"/>
        <w:jc w:val="both"/>
        <w:outlineLvl w:val="1"/>
        <w:rPr>
          <w:rFonts w:ascii="Times New Roman" w:hAnsi="Times New Roman" w:eastAsia="楷体_GB2312"/>
          <w:kern w:val="0"/>
          <w:sz w:val="32"/>
          <w:szCs w:val="32"/>
          <w:lang w:bidi="en-US"/>
        </w:rPr>
      </w:pPr>
      <w:bookmarkStart w:id="131" w:name="_Toc43649355"/>
      <w:bookmarkStart w:id="132" w:name="_Toc17506"/>
      <w:bookmarkStart w:id="133" w:name="_Toc57711675"/>
      <w:bookmarkStart w:id="134" w:name="_Toc14526"/>
      <w:bookmarkStart w:id="135" w:name="_Toc67564172"/>
      <w:bookmarkStart w:id="136" w:name="_Toc68253274"/>
      <w:r>
        <w:rPr>
          <w:rFonts w:ascii="Times New Roman" w:hAnsi="Times New Roman" w:eastAsia="楷体_GB2312"/>
          <w:kern w:val="0"/>
          <w:sz w:val="32"/>
          <w:szCs w:val="32"/>
          <w:lang w:bidi="en-US"/>
        </w:rPr>
        <w:t xml:space="preserve">第五节  </w:t>
      </w:r>
      <w:bookmarkEnd w:id="131"/>
      <w:bookmarkEnd w:id="132"/>
      <w:bookmarkEnd w:id="133"/>
      <w:r>
        <w:rPr>
          <w:rFonts w:ascii="Times New Roman" w:hAnsi="Times New Roman" w:eastAsia="楷体_GB2312"/>
          <w:kern w:val="0"/>
          <w:sz w:val="32"/>
          <w:szCs w:val="32"/>
          <w:lang w:bidi="en-US"/>
        </w:rPr>
        <w:t>健全社会保障体系</w:t>
      </w:r>
      <w:bookmarkEnd w:id="134"/>
      <w:bookmarkEnd w:id="135"/>
      <w:bookmarkEnd w:id="136"/>
    </w:p>
    <w:p>
      <w:pPr>
        <w:ind w:firstLine="640" w:firstLineChars="200"/>
        <w:jc w:val="both"/>
        <w:rPr>
          <w:rFonts w:ascii="Times New Roman" w:hAnsi="Times New Roman" w:eastAsia="仿宋_GB2312" w:cs="Times New Roman"/>
          <w:kern w:val="0"/>
          <w:sz w:val="32"/>
          <w:szCs w:val="32"/>
        </w:rPr>
      </w:pPr>
      <w:bookmarkStart w:id="137" w:name="_Toc21542"/>
      <w:r>
        <w:rPr>
          <w:rFonts w:ascii="Times New Roman" w:hAnsi="Times New Roman" w:eastAsia="仿宋_GB2312" w:cs="Times New Roman"/>
          <w:kern w:val="0"/>
          <w:sz w:val="32"/>
          <w:szCs w:val="32"/>
        </w:rPr>
        <w:t>按照兜底线、织密网、建机制的要求，在稳妥扩面的基础上更加注重质量和效益，努力构建人员范围广覆盖、保障水平多层次、制度办法可衔接、管理服务现代化的全民社会保障体系，织密全市社会保障安全网。</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bookmarkStart w:id="138" w:name="_Toc18879"/>
      <w:bookmarkStart w:id="139" w:name="_Toc33780638"/>
      <w:r>
        <w:rPr>
          <w:rFonts w:ascii="Times New Roman" w:hAnsi="Times New Roman" w:eastAsia="仿宋_GB2312" w:cs="Times New Roman"/>
          <w:b/>
          <w:bCs/>
          <w:sz w:val="32"/>
          <w:szCs w:val="32"/>
        </w:rPr>
        <w:t>健全城乡社会保险体系。</w:t>
      </w:r>
      <w:r>
        <w:rPr>
          <w:rFonts w:ascii="Times New Roman" w:hAnsi="Times New Roman" w:eastAsia="仿宋_GB2312" w:cs="Times New Roman"/>
          <w:sz w:val="32"/>
          <w:szCs w:val="32"/>
        </w:rPr>
        <w:t>实施全民参保计划，积极推进城乡居民基本养老保险、工伤保险、失业保险、医疗保险等参保扩面工作，完善居民参保动态管理机制，引导和鼓励各类人员及早参保、长期参保和连续参保。多形式、多渠道宣传城乡居民养老保险政策，保证应参尽参，稳步提高城镇居民养老保险待遇水平。完善城乡居民养老保险制度，</w:t>
      </w:r>
      <w:bookmarkEnd w:id="138"/>
      <w:bookmarkEnd w:id="139"/>
      <w:r>
        <w:rPr>
          <w:rFonts w:hint="eastAsia" w:ascii="Times New Roman" w:hAnsi="Times New Roman" w:eastAsia="仿宋_GB2312" w:cs="Times New Roman"/>
          <w:sz w:val="32"/>
          <w:szCs w:val="32"/>
        </w:rPr>
        <w:t>坚持依法参加基本医疗保险，精准扩大参保覆盖面，稳步提升基本医疗保障待遇水平，增强基础性、兜底性保障。稳步推进医保支付方式改革，完善医保协议管理，健全医保基金监管体系，加强医保信息化和法制化建设，提高医保基金使用效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到2025年，基本养老保险参保率达到95%以上。</w:t>
      </w:r>
    </w:p>
    <w:p>
      <w:pPr>
        <w:pStyle w:val="15"/>
        <w:widowControl w:val="0"/>
        <w:spacing w:before="0" w:beforeAutospacing="0" w:after="0" w:afterAutospacing="0"/>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kern w:val="2"/>
          <w:sz w:val="32"/>
          <w:szCs w:val="32"/>
        </w:rPr>
        <w:t>完善社会福利救助体系。</w:t>
      </w:r>
      <w:r>
        <w:rPr>
          <w:rFonts w:ascii="Times New Roman" w:hAnsi="Times New Roman" w:eastAsia="仿宋_GB2312" w:cs="Times New Roman"/>
          <w:kern w:val="2"/>
          <w:sz w:val="32"/>
          <w:szCs w:val="32"/>
        </w:rPr>
        <w:t>完善跨部门、多层次、信息共享的低收入家庭经济状况核对机制，建立救助对象及时精准识别机制，建立防范和化解因病致贫返贫长效机制。落实社会救助政策，提高低保和特困人员供养标准，保障好困难群众基本生活。</w:t>
      </w:r>
      <w:r>
        <w:rPr>
          <w:rFonts w:ascii="Times New Roman" w:hAnsi="Times New Roman" w:eastAsia="仿宋_GB2312" w:cs="Times New Roman"/>
          <w:sz w:val="32"/>
          <w:szCs w:val="32"/>
        </w:rPr>
        <w:t>建设儿童福利机构、未成年人保护中心。加强退役军人保障和残疾人救助工作，加快残疾人</w:t>
      </w:r>
      <w:r>
        <w:rPr>
          <w:rFonts w:hint="eastAsia" w:ascii="Times New Roman" w:hAnsi="Times New Roman" w:eastAsia="仿宋_GB2312" w:cs="Times New Roman"/>
          <w:sz w:val="32"/>
          <w:szCs w:val="32"/>
        </w:rPr>
        <w:t>托养</w:t>
      </w:r>
      <w:r>
        <w:rPr>
          <w:rFonts w:ascii="Times New Roman" w:hAnsi="Times New Roman" w:eastAsia="仿宋_GB2312" w:cs="Times New Roman"/>
          <w:sz w:val="32"/>
          <w:szCs w:val="32"/>
        </w:rPr>
        <w:t>中心项目建设，提升残疾预防、康复</w:t>
      </w:r>
      <w:r>
        <w:rPr>
          <w:rFonts w:hint="eastAsia" w:ascii="Times New Roman" w:hAnsi="Times New Roman" w:eastAsia="仿宋_GB2312" w:cs="Times New Roman"/>
          <w:sz w:val="32"/>
          <w:szCs w:val="32"/>
        </w:rPr>
        <w:t>托养</w:t>
      </w:r>
      <w:r>
        <w:rPr>
          <w:rFonts w:ascii="Times New Roman" w:hAnsi="Times New Roman" w:eastAsia="仿宋_GB2312" w:cs="Times New Roman"/>
          <w:sz w:val="32"/>
          <w:szCs w:val="32"/>
        </w:rPr>
        <w:t>等基本公共服务水平。完善政府购买服务机制，加强基层经办能力建设，激励社会组织、慈善力量和志愿者等参与社会救助工作。</w:t>
      </w:r>
    </w:p>
    <w:bookmarkEnd w:id="137"/>
    <w:p>
      <w:pPr>
        <w:ind w:firstLine="643" w:firstLineChars="200"/>
        <w:jc w:val="both"/>
        <w:rPr>
          <w:rFonts w:ascii="Times New Roman" w:hAnsi="Times New Roman" w:eastAsia="仿宋_GB2312" w:cs="Times New Roman"/>
          <w:sz w:val="32"/>
          <w:szCs w:val="32"/>
        </w:rPr>
      </w:pPr>
      <w:bookmarkStart w:id="140" w:name="_Toc24052"/>
      <w:bookmarkStart w:id="141" w:name="_Toc2881"/>
      <w:bookmarkStart w:id="142" w:name="_Toc23541"/>
      <w:bookmarkStart w:id="143" w:name="_Toc17231"/>
      <w:bookmarkStart w:id="144" w:name="_Toc57711676"/>
      <w:r>
        <w:rPr>
          <w:rFonts w:ascii="Times New Roman" w:hAnsi="Times New Roman" w:eastAsia="仿宋_GB2312" w:cs="Times New Roman"/>
          <w:b/>
          <w:bCs/>
          <w:sz w:val="32"/>
          <w:szCs w:val="32"/>
        </w:rPr>
        <w:t>稳步提高养老保障能力。</w:t>
      </w:r>
      <w:r>
        <w:rPr>
          <w:rFonts w:ascii="Times New Roman" w:hAnsi="Times New Roman" w:eastAsia="仿宋_GB2312" w:cs="Times New Roman"/>
          <w:sz w:val="32"/>
          <w:szCs w:val="32"/>
        </w:rPr>
        <w:t>完善居家养老为基础、社区为依托、机构为补充、医养结合的养老保障体系，努力为老人提供医、护、住、食、娱、学等一站式养老服务。实施城镇养老幸福工程，加强社区养老服务设施布局，推进中心敬老院建设，建设多功能、专业化的社区养老服务设施，探索“物业服务+养老服务模式”“城市社区日间照料中心+延伸服务”模式。实施农村老年人日间照料中心示范工程，探索社会组织、村红白理事协会、养老服务机构等参与农村日间照料中心运行管理，实施连锁运行，连片管理，形成品牌化。推进智慧养老平台服务建设，提升服务质量和水平。</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构建人口均衡发展格局。</w:t>
      </w:r>
      <w:r>
        <w:rPr>
          <w:rFonts w:ascii="Times New Roman" w:hAnsi="Times New Roman" w:eastAsia="仿宋_GB2312" w:cs="Times New Roman"/>
          <w:sz w:val="32"/>
          <w:szCs w:val="32"/>
        </w:rPr>
        <w:t>全面做好人口工作，完善人口发展战略，积极应对人口老龄化，保障妇女儿童权益，健全残疾人权益保障制度，促进人口长期均衡发展。建立完善包括生育支持、幼儿养育、青少年发展、老人赡养、病残照料等在内的家庭发展政策。加快构建“家庭为主、托幼补充、政策引导、普惠优先、安全健康、科学规范”的婴幼儿照护服务供给体系。建立健全妇女全面发展机制，严厉打击针对妇女儿童的违法犯罪行为，统筹推进农村留守妇女儿童关爱和困境儿童保障工作，切实保障妇女儿童合法权益。</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升级发展其他基本社会服务。</w:t>
      </w:r>
      <w:r>
        <w:rPr>
          <w:rFonts w:ascii="Times New Roman" w:hAnsi="Times New Roman" w:eastAsia="仿宋_GB2312" w:cs="Times New Roman"/>
          <w:sz w:val="32"/>
          <w:szCs w:val="32"/>
        </w:rPr>
        <w:t>深化殡葬事业改革，加强殡仪馆、公益性公墓等基础设施建设，大倡导节地生态安葬。加强婚姻登记标准化建设，完善网上预约婚姻登记服务，提高婚姻登记管理服务水平。</w:t>
      </w:r>
      <w:r>
        <w:rPr>
          <w:rFonts w:hint="eastAsia" w:ascii="Times New Roman" w:hAnsi="Times New Roman" w:eastAsia="仿宋_GB2312" w:cs="Times New Roman"/>
          <w:sz w:val="32"/>
          <w:szCs w:val="32"/>
        </w:rPr>
        <w:t>加强国防教育，开展“双拥”工作。加强优抚安置工作，</w:t>
      </w:r>
      <w:r>
        <w:rPr>
          <w:rFonts w:ascii="Times New Roman" w:hAnsi="Times New Roman" w:eastAsia="仿宋_GB2312" w:cs="Times New Roman"/>
          <w:sz w:val="32"/>
          <w:szCs w:val="32"/>
        </w:rPr>
        <w:t>健全</w:t>
      </w:r>
      <w:r>
        <w:rPr>
          <w:rFonts w:hint="eastAsia" w:ascii="Times New Roman" w:hAnsi="Times New Roman" w:eastAsia="仿宋_GB2312" w:cs="Times New Roman"/>
          <w:sz w:val="32"/>
          <w:szCs w:val="32"/>
        </w:rPr>
        <w:t>完善</w:t>
      </w:r>
      <w:r>
        <w:rPr>
          <w:rFonts w:ascii="Times New Roman" w:hAnsi="Times New Roman" w:eastAsia="仿宋_GB2312" w:cs="Times New Roman"/>
          <w:sz w:val="32"/>
          <w:szCs w:val="32"/>
        </w:rPr>
        <w:t>退役军人</w:t>
      </w:r>
      <w:r>
        <w:rPr>
          <w:rFonts w:hint="eastAsia" w:ascii="Times New Roman" w:hAnsi="Times New Roman" w:eastAsia="仿宋_GB2312" w:cs="Times New Roman"/>
          <w:sz w:val="32"/>
          <w:szCs w:val="32"/>
        </w:rPr>
        <w:t>服务保障</w:t>
      </w:r>
      <w:r>
        <w:rPr>
          <w:rFonts w:ascii="Times New Roman" w:hAnsi="Times New Roman" w:eastAsia="仿宋_GB2312" w:cs="Times New Roman"/>
          <w:sz w:val="32"/>
          <w:szCs w:val="32"/>
        </w:rPr>
        <w:t>体系。</w:t>
      </w:r>
      <w:r>
        <w:rPr>
          <w:rFonts w:hint="eastAsia" w:ascii="Times New Roman" w:hAnsi="Times New Roman" w:eastAsia="仿宋_GB2312" w:cs="Times New Roman"/>
          <w:sz w:val="32"/>
          <w:szCs w:val="32"/>
        </w:rPr>
        <w:t>持续推进市志、</w:t>
      </w:r>
      <w:r>
        <w:rPr>
          <w:rFonts w:ascii="Times New Roman" w:hAnsi="Times New Roman" w:eastAsia="仿宋_GB2312" w:cs="Times New Roman"/>
          <w:sz w:val="32"/>
          <w:szCs w:val="32"/>
        </w:rPr>
        <w:t>档案、慈善</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事业健康发展。</w:t>
      </w:r>
    </w:p>
    <w:tbl>
      <w:tblPr>
        <w:tblStyle w:val="19"/>
        <w:tblpPr w:leftFromText="180" w:rightFromText="180" w:vertAnchor="text" w:horzAnchor="margin" w:tblpX="108" w:tblpY="272"/>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760" w:type="dxa"/>
            <w:vAlign w:val="center"/>
          </w:tcPr>
          <w:p>
            <w:pPr>
              <w:jc w:val="both"/>
              <w:rPr>
                <w:rFonts w:ascii="Times New Roman" w:hAnsi="Times New Roman" w:eastAsia="宋体" w:cs="Times New Roman"/>
                <w:color w:val="FF0000"/>
                <w:sz w:val="28"/>
                <w:szCs w:val="28"/>
              </w:rPr>
            </w:pPr>
            <w:r>
              <w:rPr>
                <w:rFonts w:hint="eastAsia" w:ascii="Times New Roman" w:hAnsi="Times New Roman" w:eastAsia="黑体" w:cs="Times New Roman"/>
                <w:sz w:val="28"/>
                <w:szCs w:val="28"/>
              </w:rPr>
              <w:t>专栏13：“十四五”社会事业重大工程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5" w:hRule="atLeast"/>
        </w:trPr>
        <w:tc>
          <w:tcPr>
            <w:tcW w:w="8760" w:type="dxa"/>
            <w:vAlign w:val="top"/>
          </w:tcPr>
          <w:p>
            <w:pPr>
              <w:spacing w:beforeLines="50" w:line="360" w:lineRule="exact"/>
              <w:ind w:firstLine="422" w:firstLineChars="200"/>
              <w:jc w:val="both"/>
              <w:rPr>
                <w:rFonts w:ascii="方正小标宋简体" w:hAnsi="方正小标宋简体" w:eastAsia="方正小标宋简体" w:cs="方正小标宋简体"/>
                <w:color w:val="FF0000"/>
                <w:szCs w:val="21"/>
              </w:rPr>
            </w:pPr>
            <w:r>
              <w:rPr>
                <w:rFonts w:hint="eastAsia" w:ascii="方正小标宋简体" w:hAnsi="方正小标宋简体" w:eastAsia="方正小标宋简体" w:cs="方正小标宋简体"/>
                <w:b/>
                <w:szCs w:val="21"/>
              </w:rPr>
              <w:t>教育提升工程。</w:t>
            </w:r>
            <w:r>
              <w:rPr>
                <w:rFonts w:hint="eastAsia" w:ascii="方正小标宋简体" w:hAnsi="方正小标宋简体" w:eastAsia="方正小标宋简体" w:cs="方正小标宋简体"/>
                <w:szCs w:val="21"/>
              </w:rPr>
              <w:t>13所公办幼儿园新（改、扩）建项目、城西中心校庄子幼儿园改扩建项目、柳宗元小学建设项目、北郊小学改扩建工程、九华山庄小区幼儿园新建项目、吉尔特庄园幼儿园新建项目、小张村幼儿园新建项目、南山华庭小区幼儿园新建项目，舜帝山森林公园小学新建项目、市中医院小学新建项目、滨河花园小学新建项目、银杏小学扩建项目，十二年一贯制学校（北京师范大学永济市附属中学）新建项目、七社路初中学校建设项目、三场一馆北初中学校建设项目，7所镇寄宿制学校新建项目、1所省级高水平实训基地建设项目、智慧校园建设项目。</w:t>
            </w:r>
          </w:p>
          <w:p>
            <w:pPr>
              <w:pStyle w:val="8"/>
              <w:spacing w:after="0" w:line="360" w:lineRule="exact"/>
              <w:ind w:left="0" w:leftChars="0"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卫生健康体育提升工程。</w:t>
            </w:r>
            <w:r>
              <w:rPr>
                <w:rFonts w:hint="eastAsia" w:ascii="方正小标宋简体" w:hAnsi="方正小标宋简体" w:eastAsia="方正小标宋简体" w:cs="方正小标宋简体"/>
                <w:szCs w:val="21"/>
              </w:rPr>
              <w:t>市人民医院整体搬迁项目、市妇幼保健计划生育服务中心新院（市儿童医院）建设项目、市“共享中医药”项目、社会心理服务全国试点建设项目、市智慧健康信息平台建设项目、公卫卫生应急指挥平台、永济市中条山南部150公里健身（登山）步道建设项目、姬际可纪念馆、三星级汽车露营地建设项目、五老峰航空运动小镇、舜帝山智慧体育公园、6个智能社区健身中心。</w:t>
            </w:r>
          </w:p>
          <w:p>
            <w:pPr>
              <w:pStyle w:val="17"/>
              <w:spacing w:afterLines="50" w:line="360" w:lineRule="exact"/>
              <w:jc w:val="both"/>
            </w:pPr>
            <w:r>
              <w:rPr>
                <w:rFonts w:hint="eastAsia" w:ascii="方正小标宋简体" w:hAnsi="方正小标宋简体" w:eastAsia="方正小标宋简体" w:cs="方正小标宋简体"/>
                <w:b/>
                <w:szCs w:val="21"/>
              </w:rPr>
              <w:t>养老托幼保障提升工程。</w:t>
            </w:r>
            <w:r>
              <w:rPr>
                <w:rFonts w:hint="eastAsia" w:ascii="方正小标宋简体" w:hAnsi="方正小标宋简体" w:eastAsia="方正小标宋简体" w:cs="方正小标宋简体"/>
                <w:szCs w:val="21"/>
              </w:rPr>
              <w:t>市0-3岁婴幼儿托育服务中心建设项目，韩阳镇公办敬老院建设项目、卿头镇公办敬老院建设项目、老年残疾人“逸养楼”建设项目（2座），22个社区日间照料服务中心建设项目，现有公墓“六化”改造项目、全市7镇公墓地和骨灰存放堂建设项目。</w:t>
            </w:r>
          </w:p>
        </w:tc>
      </w:tr>
      <w:bookmarkEnd w:id="140"/>
      <w:bookmarkEnd w:id="141"/>
      <w:bookmarkEnd w:id="142"/>
      <w:bookmarkEnd w:id="143"/>
      <w:bookmarkEnd w:id="144"/>
    </w:tbl>
    <w:p>
      <w:pPr>
        <w:pStyle w:val="17"/>
        <w:spacing w:beforeLines="50" w:afterLines="50"/>
        <w:ind w:firstLine="0"/>
        <w:jc w:val="center"/>
        <w:outlineLvl w:val="1"/>
        <w:rPr>
          <w:rFonts w:ascii="Times New Roman" w:hAnsi="Times New Roman" w:eastAsia="楷体_GB2312"/>
          <w:kern w:val="0"/>
          <w:sz w:val="32"/>
          <w:szCs w:val="32"/>
          <w:lang w:bidi="en-US"/>
        </w:rPr>
      </w:pPr>
      <w:bookmarkStart w:id="145" w:name="_Toc5732"/>
      <w:bookmarkStart w:id="146" w:name="_Toc67564174"/>
      <w:bookmarkStart w:id="147" w:name="_Toc27315"/>
      <w:bookmarkStart w:id="148" w:name="_Toc32681"/>
      <w:bookmarkStart w:id="149" w:name="_Toc30339"/>
      <w:bookmarkStart w:id="150" w:name="_Toc68253275"/>
      <w:bookmarkStart w:id="151" w:name="_Toc12843"/>
      <w:bookmarkStart w:id="152" w:name="_Toc57711677"/>
      <w:bookmarkStart w:id="153" w:name="_Toc43649357"/>
      <w:bookmarkStart w:id="154" w:name="_Toc450318021"/>
      <w:r>
        <w:rPr>
          <w:rFonts w:ascii="Times New Roman" w:hAnsi="Times New Roman" w:eastAsia="楷体_GB2312"/>
          <w:kern w:val="0"/>
          <w:sz w:val="32"/>
          <w:szCs w:val="32"/>
          <w:lang w:bidi="en-US"/>
        </w:rPr>
        <w:t>第</w:t>
      </w:r>
      <w:r>
        <w:rPr>
          <w:rFonts w:hint="eastAsia" w:ascii="Times New Roman" w:hAnsi="Times New Roman" w:eastAsia="楷体_GB2312"/>
          <w:kern w:val="0"/>
          <w:sz w:val="32"/>
          <w:szCs w:val="32"/>
          <w:lang w:bidi="en-US"/>
        </w:rPr>
        <w:t>六</w:t>
      </w:r>
      <w:r>
        <w:rPr>
          <w:rFonts w:ascii="Times New Roman" w:hAnsi="Times New Roman" w:eastAsia="楷体_GB2312"/>
          <w:kern w:val="0"/>
          <w:sz w:val="32"/>
          <w:szCs w:val="32"/>
          <w:lang w:bidi="en-US"/>
        </w:rPr>
        <w:t>节  加强</w:t>
      </w:r>
      <w:bookmarkEnd w:id="145"/>
      <w:bookmarkEnd w:id="146"/>
      <w:bookmarkEnd w:id="147"/>
      <w:bookmarkEnd w:id="148"/>
      <w:bookmarkEnd w:id="149"/>
      <w:r>
        <w:rPr>
          <w:rFonts w:hint="eastAsia" w:ascii="Times New Roman" w:hAnsi="Times New Roman" w:eastAsia="楷体_GB2312"/>
          <w:kern w:val="0"/>
          <w:sz w:val="32"/>
          <w:szCs w:val="32"/>
          <w:lang w:bidi="en-US"/>
        </w:rPr>
        <w:t>社会综合治理</w:t>
      </w:r>
      <w:bookmarkEnd w:id="150"/>
    </w:p>
    <w:p>
      <w:pPr>
        <w:pStyle w:val="15"/>
        <w:widowControl w:val="0"/>
        <w:spacing w:before="0" w:beforeAutospacing="0" w:after="0" w:afterAutospacing="0"/>
        <w:ind w:firstLine="640" w:firstLineChars="200"/>
        <w:jc w:val="both"/>
        <w:rPr>
          <w:rFonts w:ascii="Times New Roman" w:hAnsi="Times New Roman" w:eastAsia="仿宋_GB2312" w:cs="Times New Roman"/>
          <w:sz w:val="32"/>
          <w:szCs w:val="32"/>
        </w:rPr>
      </w:pPr>
      <w:bookmarkStart w:id="155" w:name="_Toc12745"/>
      <w:r>
        <w:rPr>
          <w:rFonts w:ascii="Times New Roman" w:hAnsi="Times New Roman" w:eastAsia="仿宋_GB2312" w:cs="Times New Roman"/>
          <w:sz w:val="32"/>
          <w:szCs w:val="32"/>
        </w:rPr>
        <w:t>适应新时代社会治理新形势新要求，推进社区、社会组织、社会工作“三社联动”，统筹结合专项治理、系统治理、综合治理、依法治理和源头治理，完善党委领导、政府负责、群团助推、社会协同、公众参与、法治保障、科技支撑的社会治理体系。</w:t>
      </w:r>
    </w:p>
    <w:bookmarkEnd w:id="155"/>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深入推进法治建设。</w:t>
      </w:r>
      <w:r>
        <w:rPr>
          <w:rFonts w:ascii="Times New Roman" w:hAnsi="Times New Roman" w:eastAsia="仿宋_GB2312" w:cs="Times New Roman"/>
          <w:sz w:val="32"/>
          <w:szCs w:val="32"/>
        </w:rPr>
        <w:t>深入践行习近平法治思想，</w:t>
      </w:r>
      <w:r>
        <w:rPr>
          <w:rFonts w:hint="eastAsia" w:ascii="Times New Roman" w:hAnsi="Times New Roman" w:eastAsia="仿宋_GB2312" w:cs="Times New Roman"/>
          <w:sz w:val="32"/>
          <w:szCs w:val="32"/>
        </w:rPr>
        <w:t>坚持依法治国、依法执政、依法行政共同推进，</w:t>
      </w:r>
      <w:r>
        <w:rPr>
          <w:rFonts w:ascii="Times New Roman" w:hAnsi="Times New Roman" w:eastAsia="仿宋_GB2312" w:cs="Times New Roman"/>
          <w:sz w:val="32"/>
          <w:szCs w:val="32"/>
        </w:rPr>
        <w:t>坚持法治国家、法治政府、法治社会一体建设，全面落实依法治国基本方略。严格落实“三重一大”决策程序，严格按照审批程序健全项目手续，做到依法决策、合规建设、规范管理。全面完成省级法治</w:t>
      </w:r>
      <w:r>
        <w:rPr>
          <w:rFonts w:hint="eastAsia" w:ascii="Times New Roman" w:hAnsi="Times New Roman" w:eastAsia="仿宋_GB2312" w:cs="Times New Roman"/>
          <w:sz w:val="32"/>
          <w:szCs w:val="32"/>
        </w:rPr>
        <w:t>政府</w:t>
      </w:r>
      <w:r>
        <w:rPr>
          <w:rFonts w:ascii="Times New Roman" w:hAnsi="Times New Roman" w:eastAsia="仿宋_GB2312" w:cs="Times New Roman"/>
          <w:sz w:val="32"/>
          <w:szCs w:val="32"/>
        </w:rPr>
        <w:t>示范县（市）创建工作，争创全国法治</w:t>
      </w:r>
      <w:r>
        <w:rPr>
          <w:rFonts w:hint="eastAsia" w:ascii="Times New Roman" w:hAnsi="Times New Roman" w:eastAsia="仿宋_GB2312" w:cs="Times New Roman"/>
          <w:sz w:val="32"/>
          <w:szCs w:val="32"/>
        </w:rPr>
        <w:t>政府</w:t>
      </w:r>
      <w:r>
        <w:rPr>
          <w:rFonts w:ascii="Times New Roman" w:hAnsi="Times New Roman" w:eastAsia="仿宋_GB2312" w:cs="Times New Roman"/>
          <w:sz w:val="32"/>
          <w:szCs w:val="32"/>
        </w:rPr>
        <w:t>示范县（市）。抓好“七五”普法总结和“八五”普法的规划组织，广泛开展“法律九进”活动。健全完善行政执法监督工作机制，强化行政执法监督。</w:t>
      </w:r>
      <w:r>
        <w:rPr>
          <w:rFonts w:hint="eastAsia" w:ascii="Times New Roman" w:hAnsi="Times New Roman" w:eastAsia="仿宋_GB2312" w:cs="Times New Roman"/>
          <w:sz w:val="32"/>
          <w:szCs w:val="32"/>
        </w:rPr>
        <w:t>推进公共法律服务体系建设，形成覆盖城乡、便捷高效、均等普惠的现代公共法律服务体系</w:t>
      </w:r>
      <w:r>
        <w:rPr>
          <w:rFonts w:ascii="Times New Roman" w:hAnsi="Times New Roman" w:eastAsia="仿宋_GB2312" w:cs="Times New Roman"/>
          <w:sz w:val="32"/>
          <w:szCs w:val="32"/>
        </w:rPr>
        <w:t>。大力弘扬法治精神，不断提高运用法治思维和法治方式深化改革、推动发展、化解矛盾、维护稳定的能力。</w:t>
      </w:r>
    </w:p>
    <w:p>
      <w:pPr>
        <w:pStyle w:val="15"/>
        <w:widowControl w:val="0"/>
        <w:spacing w:before="0" w:beforeAutospacing="0" w:after="0" w:afterAutospacing="0"/>
        <w:ind w:firstLine="643"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b/>
          <w:bCs/>
          <w:kern w:val="2"/>
          <w:sz w:val="32"/>
          <w:szCs w:val="32"/>
        </w:rPr>
        <w:t>深入推进平安建设。</w:t>
      </w:r>
      <w:r>
        <w:rPr>
          <w:rFonts w:ascii="Times New Roman" w:hAnsi="Times New Roman" w:eastAsia="仿宋_GB2312" w:cs="Times New Roman"/>
          <w:kern w:val="2"/>
          <w:sz w:val="32"/>
          <w:szCs w:val="32"/>
        </w:rPr>
        <w:t>围绕“深挖根治”总体要求，以“三打三治”为载体，运用好“四个一批”，推进扫黑除恶长效机制建设，巩固和拓展专项斗争成果，构建立体化全方位智能化社会治安防控体系，健全对新型网络犯罪的整治机制。构建立体化社会治安防控体系，做实基层，夯实基础，健全对新型网络犯罪的整体机制，紧盯重点区域、重点行业、重点单位、重点组织、重点人员、重点物品，整治治安突出问题，挤压违法犯罪和乱点乱象滋生空间，确保人民安居乐业、社会安定有序。健全最严格的安全生产责任体系，扎实开展安全生产专项整治行动计划，促进安全生产持续稳定好转。</w:t>
      </w:r>
    </w:p>
    <w:bookmarkEnd w:id="151"/>
    <w:bookmarkEnd w:id="152"/>
    <w:bookmarkEnd w:id="153"/>
    <w:p>
      <w:pPr>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深入开展“三零”单位创建。</w:t>
      </w:r>
      <w:r>
        <w:rPr>
          <w:rFonts w:ascii="Times New Roman" w:hAnsi="Times New Roman" w:eastAsia="仿宋_GB2312" w:cs="Times New Roman"/>
          <w:color w:val="000000"/>
          <w:sz w:val="32"/>
          <w:szCs w:val="32"/>
        </w:rPr>
        <w:t>扎实开展“三零”单位创建，按照“落小单元、压实责任、前移关口、工作下沉”的要求，明确村（社区）、企业、单位主体责任，通过查漏洞、补短板、建机制，将各类苗头性、倾向性问题化解在早在小，努力做到矛盾不上交、平安不出事、服务不缺位，推动符合条件的村（社区）、企业、单位比例逐步上升。力争每年打造5个市级示范点、20个县级示范点，以先进典型带动各创建主体落实各项工作措施。</w:t>
      </w:r>
    </w:p>
    <w:tbl>
      <w:tblPr>
        <w:tblStyle w:val="18"/>
        <w:tblpPr w:leftFromText="180" w:rightFromText="180" w:vertAnchor="text" w:horzAnchor="page" w:tblpX="1925" w:tblpY="195"/>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vAlign w:val="top"/>
          </w:tcPr>
          <w:p>
            <w:pPr>
              <w:jc w:val="both"/>
              <w:rPr>
                <w:rFonts w:ascii="Times New Roman" w:hAnsi="Times New Roman" w:eastAsia="楷体_GB2312" w:cs="Times New Roman"/>
                <w:sz w:val="28"/>
                <w:szCs w:val="28"/>
              </w:rPr>
            </w:pPr>
            <w:r>
              <w:rPr>
                <w:rFonts w:hint="eastAsia" w:ascii="Times New Roman" w:hAnsi="Times New Roman" w:eastAsia="黑体" w:cs="Times New Roman"/>
                <w:sz w:val="28"/>
                <w:szCs w:val="28"/>
              </w:rPr>
              <w:t>专栏14：“三零”单位创建工程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vAlign w:val="top"/>
          </w:tcPr>
          <w:p>
            <w:pPr>
              <w:spacing w:beforeLines="50"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“零上访”单位创建工程。</w:t>
            </w:r>
            <w:r>
              <w:rPr>
                <w:rFonts w:hint="eastAsia" w:ascii="方正小标宋简体" w:hAnsi="方正小标宋简体" w:eastAsia="方正小标宋简体" w:cs="方正小标宋简体"/>
                <w:szCs w:val="21"/>
              </w:rPr>
              <w:t>深入开展重复信访、越级上访、集体上访、非接待场所涉访问题专项治理，努力实现减存量、控增量、防变量。建立义务信访代理制度，打造“群众张嘴、干部跑腿”新型信访通道。巩固和发展网上信访主渠道。严格落实诉访分离制度，健全信访矛盾多元共治机制，整合诉讼服务、仲裁受理、投诉办理、调解调处、法律援助等各方资源力量，推行联合接访模式。</w:t>
            </w:r>
          </w:p>
          <w:p>
            <w:pPr>
              <w:spacing w:line="360" w:lineRule="exact"/>
              <w:ind w:firstLine="422" w:firstLineChars="200"/>
              <w:jc w:val="both"/>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b/>
                <w:szCs w:val="21"/>
              </w:rPr>
              <w:t>“零事故”单位创建工程。</w:t>
            </w:r>
            <w:r>
              <w:rPr>
                <w:rFonts w:hint="eastAsia" w:ascii="方正小标宋简体" w:hAnsi="方正小标宋简体" w:eastAsia="方正小标宋简体" w:cs="方正小标宋简体"/>
                <w:szCs w:val="21"/>
              </w:rPr>
              <w:t>压实安全生产党政领导责任、部门监管责任和创建单位主体责任，落实全员责任制、全过程安全责任追溯等制度。全面推进企业分类监管，建立健全本质安全平分类监管制度。严格安全监管执法，持续开展重点行业领域专项整治攻坚行动，全面提升安全生产水平。织密安全生产防控体系，强化双重预防机制建设，形成超前预防、超前治理的格局。</w:t>
            </w:r>
          </w:p>
          <w:p>
            <w:pPr>
              <w:pStyle w:val="8"/>
              <w:spacing w:afterLines="50" w:line="360" w:lineRule="exact"/>
              <w:ind w:left="0" w:leftChars="0" w:firstLine="422" w:firstLineChars="200"/>
              <w:jc w:val="both"/>
              <w:rPr>
                <w:rFonts w:ascii="Times New Roman" w:hAnsi="Times New Roman" w:cs="Times New Roman"/>
              </w:rPr>
            </w:pPr>
            <w:r>
              <w:rPr>
                <w:rFonts w:hint="eastAsia" w:ascii="方正小标宋简体" w:hAnsi="方正小标宋简体" w:eastAsia="方正小标宋简体" w:cs="方正小标宋简体"/>
                <w:b/>
                <w:szCs w:val="21"/>
              </w:rPr>
              <w:t>“零案件”单位创建工程。</w:t>
            </w:r>
            <w:r>
              <w:rPr>
                <w:rFonts w:hint="eastAsia" w:ascii="方正小标宋简体" w:hAnsi="方正小标宋简体" w:eastAsia="方正小标宋简体" w:cs="方正小标宋简体"/>
                <w:szCs w:val="21"/>
              </w:rPr>
              <w:t>深入推进落实以打促防、打防结合、管防一体、服务为上的预防和打击犯罪新机制。强化街面巡逻防控，实行棋盘式布警、网格化巡逻，切实提高响应速度和处置效率。深入实施城乡社区警务战略，健全城区“一区一警两辅”和农村“一村一辅警”机制，组建专班，加强治保会、巡防员、信息员、网格员、楼巷长等群防群治力量建设。组织指导辖区财政供养的基层服务员和非财政供养的社会团体进网格、入单元，参与群防群治。继续完善联排、联控、联处机制，推行组（社区）、村（居委会）、镇（街道）、市四级调处，深化诉调、检调、公调、政调“五调对接”工作机制，推进基层自治、法制、德治“三治融合”，严防“民转刑”案件和个人极端案件的发生。</w:t>
            </w:r>
          </w:p>
        </w:tc>
      </w:tr>
    </w:tbl>
    <w:p>
      <w:pPr>
        <w:pStyle w:val="17"/>
        <w:spacing w:beforeLines="50"/>
        <w:ind w:firstLine="643" w:firstLineChars="200"/>
        <w:jc w:val="both"/>
        <w:rPr>
          <w:rFonts w:ascii="Times New Roman" w:hAnsi="Times New Roman" w:eastAsia="仿宋_GB2312"/>
          <w:sz w:val="32"/>
          <w:szCs w:val="32"/>
        </w:rPr>
      </w:pPr>
      <w:r>
        <w:rPr>
          <w:rFonts w:ascii="Times New Roman" w:hAnsi="Times New Roman" w:eastAsia="仿宋_GB2312"/>
          <w:b/>
          <w:bCs/>
          <w:sz w:val="32"/>
          <w:szCs w:val="32"/>
        </w:rPr>
        <w:t>构建共建共治共享社会治理新格局。</w:t>
      </w:r>
      <w:r>
        <w:rPr>
          <w:rFonts w:ascii="Times New Roman" w:hAnsi="Times New Roman" w:eastAsia="仿宋_GB2312"/>
          <w:sz w:val="32"/>
          <w:szCs w:val="32"/>
        </w:rPr>
        <w:t>积极推广社会治理“五四”工作机制、“123456”矛盾纠纷多元化解机制、</w:t>
      </w:r>
      <w:r>
        <w:rPr>
          <w:rFonts w:hint="eastAsia" w:ascii="仿宋" w:hAnsi="仿宋" w:eastAsia="仿宋" w:cs="仿宋"/>
          <w:sz w:val="32"/>
          <w:szCs w:val="32"/>
        </w:rPr>
        <w:t>“4433”心理服务机制、</w:t>
      </w:r>
      <w:r>
        <w:rPr>
          <w:rFonts w:ascii="Times New Roman" w:hAnsi="Times New Roman" w:eastAsia="仿宋_GB2312"/>
          <w:sz w:val="32"/>
          <w:szCs w:val="32"/>
        </w:rPr>
        <w:t>“全科网格”管理等办法，建设具有凝聚力、向心力与归属感的新兴社区，构建社会生活共同体。依托市社会治理综合服务中心，高标准实施“雪亮工程”二期建设项目，构建信息化社会治安防控体系。全面梳理基层网格，推进点线网全面融合，构建“全科网格”“全要素网格”，推动基层基础建设水平得到提升。建立社区人群信息、公共设施、服务事项、服务团体清单，推进线下服务向线上服务延伸，实现网格服务精细化。加强信息化建设，充分运用“两微一网一端”</w:t>
      </w:r>
      <w:r>
        <w:rPr>
          <w:rFonts w:ascii="Times New Roman" w:hAnsi="Times New Roman" w:eastAsia="楷体_GB2312"/>
          <w:sz w:val="32"/>
          <w:szCs w:val="32"/>
        </w:rPr>
        <w:t>（微博、微信、官方网站、官方APP客户端）</w:t>
      </w:r>
      <w:r>
        <w:rPr>
          <w:rFonts w:ascii="Times New Roman" w:hAnsi="Times New Roman" w:eastAsia="仿宋_GB2312"/>
          <w:sz w:val="32"/>
          <w:szCs w:val="32"/>
        </w:rPr>
        <w:t>，探索“社会微治理”模式。</w:t>
      </w:r>
    </w:p>
    <w:p>
      <w:pPr>
        <w:ind w:firstLine="643"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健全“三治融合”基层治理体系。</w:t>
      </w:r>
      <w:r>
        <w:rPr>
          <w:rFonts w:ascii="Times New Roman" w:hAnsi="Times New Roman" w:eastAsia="仿宋_GB2312" w:cs="Times New Roman"/>
          <w:kern w:val="0"/>
          <w:sz w:val="32"/>
          <w:szCs w:val="32"/>
        </w:rPr>
        <w:t>推进基层自治、法治、德治相融合发展，努力构建基层社会善治体系。健全基层群众自治制度，加强基层群众自治组织规范化建设。深化村民自治实践，完善和拓展“四议两公开”制度，形成民事民议、民事民办、民事民管的多层次基层协商格局。畅通和规范市场主体、新社会阶层、社会工作者和志愿者参与社会治理的途径，全面提升社区自治能力。加强社会治理领域法治建设，把解决群体性事件等纳入法治化轨道。完善社会、学校、家庭“三位一体”德育网络。</w:t>
      </w:r>
    </w:p>
    <w:p>
      <w:pPr>
        <w:pStyle w:val="15"/>
        <w:widowControl w:val="0"/>
        <w:spacing w:before="0" w:beforeAutospacing="0" w:after="0" w:afterAutospacing="0"/>
        <w:ind w:firstLine="643" w:firstLineChars="200"/>
        <w:jc w:val="both"/>
        <w:rPr>
          <w:rFonts w:ascii="Times New Roman" w:hAnsi="Times New Roman" w:eastAsia="仿宋_GB2312" w:cs="Times New Roman"/>
          <w:kern w:val="2"/>
          <w:sz w:val="32"/>
          <w:szCs w:val="32"/>
        </w:rPr>
      </w:pPr>
      <w:bookmarkStart w:id="156" w:name="_Toc67564176"/>
      <w:bookmarkStart w:id="157" w:name="_Toc22231"/>
      <w:bookmarkStart w:id="158" w:name="_Toc57711679"/>
      <w:bookmarkStart w:id="159" w:name="_Toc22089"/>
      <w:r>
        <w:rPr>
          <w:rFonts w:hint="eastAsia" w:ascii="Times New Roman" w:hAnsi="Times New Roman" w:eastAsia="仿宋_GB2312" w:cs="Times New Roman"/>
          <w:b/>
          <w:bCs/>
          <w:sz w:val="32"/>
          <w:szCs w:val="32"/>
          <w:lang w:bidi="en-US"/>
        </w:rPr>
        <w:t>加强风险防范和应急管理</w:t>
      </w:r>
      <w:bookmarkEnd w:id="156"/>
      <w:bookmarkEnd w:id="157"/>
      <w:r>
        <w:rPr>
          <w:rFonts w:hint="eastAsia" w:ascii="Times New Roman" w:hAnsi="Times New Roman" w:eastAsia="仿宋_GB2312" w:cs="Times New Roman"/>
          <w:b/>
          <w:bCs/>
          <w:sz w:val="32"/>
          <w:szCs w:val="32"/>
          <w:lang w:bidi="en-US"/>
        </w:rPr>
        <w:t>。</w:t>
      </w:r>
      <w:bookmarkEnd w:id="158"/>
      <w:bookmarkEnd w:id="159"/>
      <w:bookmarkStart w:id="160" w:name="_Toc8180"/>
      <w:r>
        <w:rPr>
          <w:rFonts w:ascii="Times New Roman" w:hAnsi="Times New Roman" w:eastAsia="仿宋_GB2312" w:cs="Times New Roman"/>
          <w:sz w:val="32"/>
          <w:szCs w:val="32"/>
        </w:rPr>
        <w:t>全面贯彻总体国家安全观，增强忧患意识、风险意识，强化底线思维，提高风险预知预警预判能力</w:t>
      </w:r>
      <w:bookmarkEnd w:id="160"/>
      <w:r>
        <w:rPr>
          <w:rFonts w:ascii="Times New Roman" w:hAnsi="Times New Roman" w:eastAsia="仿宋_GB2312" w:cs="Times New Roman"/>
          <w:sz w:val="32"/>
          <w:szCs w:val="32"/>
        </w:rPr>
        <w:t>，实现精确预测、精细预警、精准预防。落实国家粮食安全、能源安全、金融安全、生物安全、食品药品安全战略等要求，加强安全风险预警、防控机制和能力建设，做好防范化解重大风险工作。建立健全与国防安全相适应、与经济社会发展相协调、与突发事件应急机制相衔接的国防动员体系，进一步提高应急应战的整体动员能力。</w:t>
      </w:r>
      <w:r>
        <w:rPr>
          <w:rFonts w:ascii="Times New Roman" w:hAnsi="Times New Roman" w:eastAsia="仿宋_GB2312" w:cs="Times New Roman"/>
          <w:kern w:val="2"/>
          <w:sz w:val="32"/>
          <w:szCs w:val="32"/>
        </w:rPr>
        <w:t>创新发展新时代“枫桥经验”，高标准规划建设三级社会矛盾纠纷调处中心，健全完善矛盾纠纷多元化解机制，努力实现矛盾纠纷化解“只跑一地、只进一门、只访一次”，探索市域社会治理现代化试点改革路径。落实“控新治旧”要求，健全完善信访工作机制，加强和改进信访维稳工作。建立健全风险研判、评估和防控机制，加强社会稳定风险评估，强化预测预警预防，有效提高社会治理活动的预见性和实效性。</w:t>
      </w:r>
    </w:p>
    <w:p>
      <w:pPr>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加强应急管理体系和能力建设。</w:t>
      </w:r>
      <w:r>
        <w:rPr>
          <w:rFonts w:ascii="Times New Roman" w:hAnsi="Times New Roman" w:eastAsia="仿宋_GB2312" w:cs="Times New Roman"/>
          <w:sz w:val="32"/>
          <w:szCs w:val="32"/>
        </w:rPr>
        <w:t>构建统一指挥、专常兼备、反应灵敏、上下联动的应急管理体制，确保应急预案实现全区域、全灾种、全行业、全层级、全过程覆盖。强化各类应急救援队伍的统一指挥协调，加大应急管理和防灾减灾投入，完善统一的应急物资储备体系和采购供应体系。加强应急管理综合行政执法队伍建设，提高监管执法和抢险救援专业化装备水平。统筹推进综合防灾减灾救灾。强化安全责任制考核结果运用，</w:t>
      </w:r>
      <w:r>
        <w:rPr>
          <w:rFonts w:hint="eastAsia" w:ascii="Times New Roman" w:hAnsi="Times New Roman" w:eastAsia="仿宋_GB2312" w:cs="Times New Roman"/>
          <w:sz w:val="32"/>
          <w:szCs w:val="32"/>
        </w:rPr>
        <w:t>加强</w:t>
      </w:r>
      <w:r>
        <w:rPr>
          <w:rFonts w:ascii="Times New Roman" w:hAnsi="Times New Roman" w:eastAsia="仿宋_GB2312" w:cs="Times New Roman"/>
          <w:sz w:val="32"/>
          <w:szCs w:val="32"/>
        </w:rPr>
        <w:t>森林防灭火</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严格落实安全生产“一票否决”。加快应急平台系统建设，提高指挥系统的先进性、智能化。加强消防、气象、地震工作，推动乡村多种形式的消防队伍建设。</w:t>
      </w:r>
    </w:p>
    <w:p>
      <w:pPr>
        <w:pStyle w:val="15"/>
        <w:widowControl w:val="0"/>
        <w:spacing w:before="0" w:beforeAutospacing="0" w:after="0" w:afterAutospacing="0"/>
        <w:ind w:firstLine="640" w:firstLineChars="200"/>
        <w:jc w:val="both"/>
        <w:rPr>
          <w:rFonts w:ascii="Times New Roman" w:hAnsi="Times New Roman" w:eastAsia="仿宋_GB2312" w:cs="Times New Roman"/>
          <w:kern w:val="2"/>
          <w:sz w:val="32"/>
          <w:szCs w:val="32"/>
        </w:rPr>
      </w:pPr>
    </w:p>
    <w:p>
      <w:pPr>
        <w:jc w:val="both"/>
        <w:rPr>
          <w:rFonts w:ascii="Times New Roman" w:hAnsi="Times New Roman" w:cs="Times New Roman"/>
        </w:rPr>
      </w:pPr>
      <w:r>
        <w:rPr>
          <w:rFonts w:ascii="Times New Roman" w:hAnsi="Times New Roman" w:cs="Times New Roman"/>
        </w:rPr>
        <w:br w:type="page"/>
      </w:r>
    </w:p>
    <w:bookmarkEnd w:id="154"/>
    <w:p>
      <w:pPr>
        <w:spacing w:beforeLines="100" w:afterLines="100"/>
        <w:jc w:val="center"/>
        <w:outlineLvl w:val="0"/>
        <w:rPr>
          <w:rFonts w:ascii="Times New Roman" w:hAnsi="Times New Roman" w:eastAsia="黑体" w:cs="Times New Roman"/>
          <w:kern w:val="0"/>
          <w:sz w:val="32"/>
          <w:szCs w:val="32"/>
          <w:lang w:bidi="en-US"/>
        </w:rPr>
      </w:pPr>
      <w:bookmarkStart w:id="161" w:name="_Toc67564177"/>
      <w:bookmarkStart w:id="162" w:name="_Toc815"/>
      <w:bookmarkStart w:id="163" w:name="_Toc26632"/>
      <w:bookmarkStart w:id="164" w:name="_Toc68253276"/>
      <w:r>
        <w:rPr>
          <w:rFonts w:ascii="Times New Roman" w:hAnsi="Times New Roman" w:eastAsia="黑体" w:cs="Times New Roman"/>
          <w:kern w:val="0"/>
          <w:sz w:val="32"/>
          <w:szCs w:val="32"/>
          <w:lang w:bidi="en-US"/>
        </w:rPr>
        <w:t xml:space="preserve">第十章  </w:t>
      </w:r>
      <w:r>
        <w:rPr>
          <w:rFonts w:hint="eastAsia" w:ascii="Times New Roman" w:hAnsi="Times New Roman" w:eastAsia="黑体" w:cs="Times New Roman"/>
          <w:kern w:val="0"/>
          <w:sz w:val="32"/>
          <w:szCs w:val="32"/>
          <w:lang w:bidi="en-US"/>
        </w:rPr>
        <w:t>全面加强党的建设</w:t>
      </w:r>
      <w:r>
        <w:rPr>
          <w:rFonts w:ascii="Times New Roman" w:hAnsi="Times New Roman" w:eastAsia="黑体" w:cs="Times New Roman"/>
          <w:kern w:val="0"/>
          <w:sz w:val="32"/>
          <w:szCs w:val="32"/>
          <w:lang w:bidi="en-US"/>
        </w:rPr>
        <w:t>，筑牢高质量转型发展根本保证</w:t>
      </w:r>
      <w:bookmarkEnd w:id="161"/>
      <w:bookmarkEnd w:id="162"/>
      <w:bookmarkEnd w:id="163"/>
      <w:bookmarkEnd w:id="164"/>
    </w:p>
    <w:p>
      <w:pPr>
        <w:pStyle w:val="15"/>
        <w:widowControl w:val="0"/>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实现“十四五”规划和二〇三五年远景目标，必须坚持党的全面领导，把党总揽全局、协调各方的根本要求贯彻到各项工作中，深化做好经济工作的“五个根本”规律性认识，提高贯彻新发展理念、构建新发展格局的能力水平，在新的起点上凝聚形成推动转型发展的强大合力。</w:t>
      </w:r>
      <w:bookmarkStart w:id="165" w:name="_Toc450318019"/>
    </w:p>
    <w:p>
      <w:pPr>
        <w:spacing w:beforeLines="50" w:afterLines="50"/>
        <w:jc w:val="center"/>
        <w:outlineLvl w:val="1"/>
        <w:rPr>
          <w:rFonts w:ascii="Times New Roman" w:hAnsi="Times New Roman" w:eastAsia="楷体_GB2312" w:cs="Times New Roman"/>
          <w:kern w:val="0"/>
          <w:sz w:val="32"/>
          <w:szCs w:val="32"/>
          <w:lang w:bidi="en-US"/>
        </w:rPr>
      </w:pPr>
      <w:bookmarkStart w:id="166" w:name="_Toc67564178"/>
      <w:bookmarkStart w:id="167" w:name="_Toc68253277"/>
      <w:bookmarkStart w:id="168" w:name="_Toc16700"/>
      <w:bookmarkStart w:id="169" w:name="_Toc486"/>
      <w:bookmarkStart w:id="170" w:name="_Toc21307"/>
      <w:r>
        <w:rPr>
          <w:rFonts w:ascii="Times New Roman" w:hAnsi="Times New Roman" w:eastAsia="楷体_GB2312" w:cs="Times New Roman"/>
          <w:kern w:val="0"/>
          <w:sz w:val="32"/>
          <w:szCs w:val="32"/>
          <w:lang w:bidi="en-US"/>
        </w:rPr>
        <w:t>第一节</w:t>
      </w:r>
      <w:bookmarkEnd w:id="166"/>
      <w:r>
        <w:rPr>
          <w:rFonts w:hint="eastAsia" w:ascii="Times New Roman" w:hAnsi="Times New Roman" w:eastAsia="楷体_GB2312" w:cs="Times New Roman"/>
          <w:kern w:val="0"/>
          <w:sz w:val="32"/>
          <w:szCs w:val="32"/>
          <w:lang w:bidi="en-US"/>
        </w:rPr>
        <w:t xml:space="preserve">  加强党的政治建设</w:t>
      </w:r>
      <w:bookmarkEnd w:id="167"/>
    </w:p>
    <w:p>
      <w:pPr>
        <w:ind w:firstLine="640" w:firstLineChars="200"/>
        <w:jc w:val="both"/>
        <w:rPr>
          <w:rFonts w:ascii="Times New Roman" w:hAnsi="Times New Roman" w:eastAsia="仿宋_GB2312" w:cs="Times New Roman"/>
          <w:kern w:val="0"/>
          <w:sz w:val="32"/>
          <w:szCs w:val="32"/>
          <w:lang w:bidi="en-US"/>
        </w:rPr>
      </w:pPr>
      <w:r>
        <w:rPr>
          <w:rFonts w:hint="eastAsia" w:ascii="Times New Roman" w:hAnsi="Times New Roman" w:eastAsia="仿宋_GB2312" w:cs="Times New Roman"/>
          <w:kern w:val="0"/>
          <w:sz w:val="32"/>
          <w:szCs w:val="32"/>
          <w:lang w:bidi="en-US"/>
        </w:rPr>
        <w:t>坚持把党的政治建设摆在首位，持续深入学习习近平新时代中国特色社会主义思想，不断增强政治判断力、政治领悟力、政治执行力。坚持不懈推动“不忘初心、牢记使命”主题教育常态化长效化，深入开展党史学习教育和中国共产党成立100周年系列庆祝活动，引导全市党员干部增强“四个意识”、坚定“四个自信”、做到“两个维护”，始终在思想上、政治上、行动上同以习近平同志为核心的党中央保持高度一致。</w:t>
      </w:r>
      <w:r>
        <w:rPr>
          <w:rFonts w:ascii="Times New Roman" w:hAnsi="Times New Roman" w:eastAsia="仿宋_GB2312" w:cs="Times New Roman"/>
          <w:kern w:val="0"/>
          <w:sz w:val="32"/>
          <w:szCs w:val="32"/>
          <w:lang w:bidi="en-US"/>
        </w:rPr>
        <w:t>持续巩固深化“不忘初心、牢记使命”主题教育成果，教育引导广大党员干部坚定共产主义远大理想和中国特色社会主义共同理想，坚守“两袖清风、事业有成”的价值追求，把对初心使命的坚守转化为开拓创新、锐意进取的精气神和埋头苦干、真抓实干的原动力。健全完善党组织、党员和领导干部联系服务群众长效机制。</w:t>
      </w:r>
    </w:p>
    <w:p>
      <w:pPr>
        <w:spacing w:beforeLines="50" w:afterLines="50"/>
        <w:jc w:val="center"/>
        <w:outlineLvl w:val="1"/>
        <w:rPr>
          <w:rFonts w:ascii="Times New Roman" w:hAnsi="Times New Roman" w:eastAsia="楷体_GB2312" w:cs="Times New Roman"/>
          <w:kern w:val="0"/>
          <w:sz w:val="32"/>
          <w:szCs w:val="32"/>
          <w:lang w:bidi="en-US"/>
        </w:rPr>
      </w:pPr>
      <w:bookmarkStart w:id="171" w:name="_Toc68253278"/>
      <w:bookmarkStart w:id="172" w:name="_Toc67564179"/>
      <w:r>
        <w:rPr>
          <w:rFonts w:ascii="Times New Roman" w:hAnsi="Times New Roman" w:eastAsia="楷体_GB2312" w:cs="Times New Roman"/>
          <w:kern w:val="0"/>
          <w:sz w:val="32"/>
          <w:szCs w:val="32"/>
          <w:lang w:bidi="en-US"/>
        </w:rPr>
        <w:t>第二节</w:t>
      </w:r>
      <w:r>
        <w:rPr>
          <w:rFonts w:hint="eastAsia" w:ascii="Times New Roman" w:hAnsi="Times New Roman" w:eastAsia="楷体_GB2312" w:cs="Times New Roman"/>
          <w:kern w:val="0"/>
          <w:sz w:val="32"/>
          <w:szCs w:val="32"/>
          <w:lang w:bidi="en-US"/>
        </w:rPr>
        <w:t xml:space="preserve">  加强基层组织建设</w:t>
      </w:r>
      <w:bookmarkEnd w:id="171"/>
    </w:p>
    <w:p>
      <w:pPr>
        <w:ind w:firstLine="640" w:firstLineChars="200"/>
        <w:jc w:val="both"/>
        <w:rPr>
          <w:rFonts w:ascii="Times New Roman" w:hAnsi="Times New Roman" w:eastAsia="仿宋_GB2312" w:cs="Times New Roman"/>
          <w:kern w:val="0"/>
          <w:sz w:val="32"/>
          <w:szCs w:val="32"/>
          <w:lang w:bidi="en-US"/>
        </w:rPr>
      </w:pPr>
      <w:r>
        <w:rPr>
          <w:rFonts w:hint="eastAsia" w:ascii="Times New Roman" w:hAnsi="Times New Roman" w:eastAsia="仿宋_GB2312" w:cs="Times New Roman"/>
          <w:kern w:val="0"/>
          <w:sz w:val="32"/>
          <w:szCs w:val="32"/>
          <w:lang w:bidi="en-US"/>
        </w:rPr>
        <w:t>坚持以政治建设为统领，以组织力提升为关键，统筹抓好农村、城市、非公和社会组织等各领域基层组织建设，全力做好农村“两委”换届，推进基层党建工作全面进步、全面过硬。扎实推进“整乡推进、整县提升”行动计划和非公“三整一提升”（整园建强、整楼推进、整线突破、全面提升）专项行动，壮大农村集体经济，创建党建示范县。提高发展党员质量，加强党员教育管理，严肃党内政治生活，加强党性锤炼，引导广大党员做到“一句誓言、一生做答”。</w:t>
      </w:r>
    </w:p>
    <w:bookmarkEnd w:id="165"/>
    <w:bookmarkEnd w:id="168"/>
    <w:bookmarkEnd w:id="169"/>
    <w:bookmarkEnd w:id="170"/>
    <w:bookmarkEnd w:id="172"/>
    <w:p>
      <w:pPr>
        <w:spacing w:beforeLines="50" w:afterLines="50"/>
        <w:jc w:val="center"/>
        <w:outlineLvl w:val="1"/>
        <w:rPr>
          <w:rFonts w:ascii="Times New Roman" w:hAnsi="Times New Roman" w:eastAsia="楷体_GB2312" w:cs="Times New Roman"/>
          <w:kern w:val="0"/>
          <w:sz w:val="32"/>
          <w:szCs w:val="32"/>
          <w:lang w:bidi="en-US"/>
        </w:rPr>
      </w:pPr>
      <w:bookmarkStart w:id="173" w:name="_Toc68253279"/>
      <w:bookmarkStart w:id="174" w:name="_Toc23713"/>
      <w:r>
        <w:rPr>
          <w:rFonts w:hint="eastAsia" w:ascii="Times New Roman" w:hAnsi="Times New Roman" w:eastAsia="楷体_GB2312" w:cs="Times New Roman"/>
          <w:kern w:val="0"/>
          <w:sz w:val="32"/>
          <w:szCs w:val="32"/>
          <w:lang w:bidi="en-US"/>
        </w:rPr>
        <w:t>第三节  加强干部队伍建设</w:t>
      </w:r>
      <w:bookmarkEnd w:id="173"/>
    </w:p>
    <w:p>
      <w:pPr>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建立常态化培养选拔机制，树立实干用人导向，推动形成年轻干部到基层锻炼、在基层成长、从基层选拔的良性循环。深化改革干部考核工作，营造“以结果论英雄”的浓厚氛围。</w:t>
      </w:r>
      <w:r>
        <w:rPr>
          <w:rFonts w:ascii="Times New Roman" w:hAnsi="Times New Roman" w:eastAsia="仿宋_GB2312" w:cs="Times New Roman"/>
          <w:sz w:val="32"/>
          <w:szCs w:val="32"/>
        </w:rPr>
        <w:t>抓好优秀年轻干部的选拔、培养和使用，提高各级领导干部驾驭新时代经济建设的能力和专业化水平，推动广大党员干部干在实处、走在前列、挺立潮头、争创一流。</w:t>
      </w:r>
      <w:r>
        <w:rPr>
          <w:rFonts w:hint="eastAsia" w:ascii="Times New Roman" w:hAnsi="Times New Roman" w:eastAsia="仿宋_GB2312" w:cs="Times New Roman"/>
          <w:sz w:val="32"/>
          <w:szCs w:val="32"/>
        </w:rPr>
        <w:t>健全干部从严管理和激励保护机制，最大限度调动干部积极性、主动性、创造性。建立健全干部容错机制，认真落实“三个区分开来”要求，为改革者负责、为担当者担当、为实干者撑腰，激发干部干事创业激情。建立干部交流轮岗机制，强化干部多岗位历练，增强干部适应时代发展的能力，努力建设一支忠诚干净担当的高素质专业化干部队伍。</w:t>
      </w:r>
    </w:p>
    <w:p>
      <w:pPr>
        <w:spacing w:beforeLines="50" w:afterLines="50"/>
        <w:jc w:val="both"/>
        <w:outlineLvl w:val="1"/>
        <w:rPr>
          <w:rFonts w:ascii="Times New Roman" w:hAnsi="Times New Roman" w:eastAsia="楷体_GB2312" w:cs="Times New Roman"/>
          <w:kern w:val="0"/>
          <w:sz w:val="32"/>
          <w:szCs w:val="32"/>
          <w:lang w:bidi="en-US"/>
        </w:rPr>
      </w:pPr>
      <w:bookmarkStart w:id="175" w:name="_Toc68253280"/>
      <w:r>
        <w:rPr>
          <w:rFonts w:hint="eastAsia" w:ascii="Times New Roman" w:hAnsi="Times New Roman" w:eastAsia="楷体_GB2312" w:cs="Times New Roman"/>
          <w:kern w:val="0"/>
          <w:sz w:val="32"/>
          <w:szCs w:val="32"/>
          <w:lang w:bidi="en-US"/>
        </w:rPr>
        <w:t>第四节  加强党风廉政建设</w:t>
      </w:r>
      <w:bookmarkEnd w:id="175"/>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健全全面从严治党责任制度，强化党委（党组）主体责任、党委书记第一责任人和纪检监察机关监督责任，把真管真严、敢管敢严、长管长严贯穿于管党治党全过程。强化政治监督，深化政治巡察，严明党的政治纪律和政治规矩，确保党中央重大决策部署及省、运城市重大工作举措落实落地。</w:t>
      </w:r>
      <w:r>
        <w:rPr>
          <w:rFonts w:hint="eastAsia" w:ascii="Times New Roman" w:hAnsi="Times New Roman" w:eastAsia="仿宋_GB2312" w:cs="Times New Roman"/>
          <w:sz w:val="32"/>
          <w:szCs w:val="32"/>
        </w:rPr>
        <w:t>坚持“严”的主基调不动摇，压实各级党组织全面从严治党的政治责任，一体推进“三不”机制，真正做到真管真严、敢管敢严、长管长严。认真践行运用“四种形态”，抓早、抓小、抓苗头，防微杜渐，切实维护纪律的权威性和严肃性。加大对违反中央八项规定精神的查处力度，坚决防止“四风”反弹。紧盯群众身边腐败问题，加大对违纪违法案件的查处力度，始终保持正风肃纪反腐高压态势。做好巡视整改后半篇文章，进一步发挥巡察利剑作用，五年内实现巡察对象全覆盖，切实以反腐实际成效取信于民。</w:t>
      </w:r>
    </w:p>
    <w:p>
      <w:pPr>
        <w:spacing w:beforeLines="50" w:afterLines="50"/>
        <w:jc w:val="center"/>
        <w:outlineLvl w:val="1"/>
        <w:rPr>
          <w:rFonts w:ascii="Times New Roman" w:hAnsi="Times New Roman" w:eastAsia="楷体_GB2312" w:cs="Times New Roman"/>
          <w:kern w:val="0"/>
          <w:sz w:val="32"/>
          <w:szCs w:val="32"/>
          <w:lang w:bidi="en-US"/>
        </w:rPr>
      </w:pPr>
      <w:bookmarkStart w:id="176" w:name="_Toc68253281"/>
      <w:r>
        <w:rPr>
          <w:rFonts w:hint="eastAsia" w:ascii="Times New Roman" w:hAnsi="Times New Roman" w:eastAsia="楷体_GB2312" w:cs="Times New Roman"/>
          <w:kern w:val="0"/>
          <w:sz w:val="32"/>
          <w:szCs w:val="32"/>
          <w:lang w:bidi="en-US"/>
        </w:rPr>
        <w:t>第五节  加强民主政治建设</w:t>
      </w:r>
      <w:bookmarkEnd w:id="176"/>
    </w:p>
    <w:p>
      <w:pPr>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坚持总揽全局、协调各方，推动人大、政府、政协依照法律和章程独立负责、协调一致地开展工作。</w:t>
      </w:r>
      <w:r>
        <w:rPr>
          <w:rFonts w:ascii="Times New Roman" w:hAnsi="Times New Roman" w:eastAsia="仿宋_GB2312" w:cs="Times New Roman"/>
          <w:sz w:val="32"/>
          <w:szCs w:val="32"/>
        </w:rPr>
        <w:t>坚持和完善人民代表大会制度，健全人大对“一府一委两院”的监督制度。深化预算审查监督重点拓展改革，加强人大及其常委会自身建设，更好服务大局和中心工作。加强和改进新时代人民政协工作，完善专门协商机构制度，健全发扬民主和增进团结相互贯通、建言资政和凝聚共识双向发力的程序机制。</w:t>
      </w:r>
      <w:r>
        <w:rPr>
          <w:rFonts w:hint="eastAsia" w:ascii="Times New Roman" w:hAnsi="Times New Roman" w:eastAsia="仿宋_GB2312" w:cs="Times New Roman"/>
          <w:sz w:val="32"/>
          <w:szCs w:val="32"/>
        </w:rPr>
        <w:t>强化政治引领，切实抓好党管武装、老干部和“工青妇”工作，进一步凝聚发展合力。认真做好宣传思想工作，自觉承担起举旗帜、聚民心、育新人、兴文化、展形象的使命任务。</w:t>
      </w:r>
      <w:r>
        <w:rPr>
          <w:rFonts w:ascii="Times New Roman" w:hAnsi="Times New Roman" w:eastAsia="仿宋_GB2312" w:cs="Times New Roman"/>
          <w:sz w:val="32"/>
          <w:szCs w:val="32"/>
        </w:rPr>
        <w:t>坚持党委统一领导、统战部门牵头协调、有关方面各负其责的大统战工作格局，支持民主党派、工商联和无党派人士履行职能，推动民族团结进步创建工作，提高宗教工作法治化水平，加强新</w:t>
      </w:r>
      <w:r>
        <w:rPr>
          <w:rFonts w:hint="eastAsia" w:ascii="Times New Roman" w:hAnsi="Times New Roman" w:eastAsia="仿宋_GB2312" w:cs="Times New Roman"/>
          <w:sz w:val="32"/>
          <w:szCs w:val="32"/>
        </w:rPr>
        <w:t>时代</w:t>
      </w:r>
      <w:r>
        <w:rPr>
          <w:rFonts w:ascii="Times New Roman" w:hAnsi="Times New Roman" w:eastAsia="仿宋_GB2312" w:cs="Times New Roman"/>
          <w:sz w:val="32"/>
          <w:szCs w:val="32"/>
        </w:rPr>
        <w:t>下党外知识分子和新的</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阶层人士</w:t>
      </w:r>
      <w:r>
        <w:rPr>
          <w:rFonts w:hint="eastAsia" w:ascii="Times New Roman" w:hAnsi="Times New Roman" w:eastAsia="仿宋_GB2312" w:cs="Times New Roman"/>
          <w:sz w:val="32"/>
          <w:szCs w:val="32"/>
        </w:rPr>
        <w:t>统战</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加强工会、共青团、妇联等群团组织建设</w:t>
      </w:r>
      <w:r>
        <w:rPr>
          <w:rFonts w:hint="eastAsia" w:ascii="Times New Roman" w:hAnsi="Times New Roman" w:eastAsia="仿宋_GB2312" w:cs="Times New Roman"/>
          <w:sz w:val="32"/>
          <w:szCs w:val="32"/>
        </w:rPr>
        <w:t>，最大限度地凝聚和调动一切有利于永济发展的积极因素，形成万众一心、共谋发展的良好局面。</w:t>
      </w:r>
    </w:p>
    <w:bookmarkEnd w:id="174"/>
    <w:p>
      <w:pPr>
        <w:spacing w:beforeLines="50" w:afterLines="50"/>
        <w:jc w:val="center"/>
        <w:outlineLvl w:val="1"/>
        <w:rPr>
          <w:rFonts w:ascii="Times New Roman" w:hAnsi="Times New Roman" w:eastAsia="楷体_GB2312" w:cs="Times New Roman"/>
          <w:kern w:val="0"/>
          <w:sz w:val="32"/>
          <w:szCs w:val="32"/>
          <w:lang w:bidi="en-US"/>
        </w:rPr>
      </w:pPr>
      <w:bookmarkStart w:id="177" w:name="_Toc28729"/>
      <w:bookmarkStart w:id="178" w:name="_Toc30637"/>
      <w:bookmarkStart w:id="179" w:name="_Toc1190"/>
      <w:bookmarkStart w:id="180" w:name="_Toc68253282"/>
      <w:bookmarkStart w:id="181" w:name="_Toc67564181"/>
      <w:r>
        <w:rPr>
          <w:rFonts w:ascii="Times New Roman" w:hAnsi="Times New Roman" w:eastAsia="楷体_GB2312" w:cs="Times New Roman"/>
          <w:kern w:val="0"/>
          <w:sz w:val="32"/>
          <w:szCs w:val="32"/>
          <w:lang w:bidi="en-US"/>
        </w:rPr>
        <w:t>第</w:t>
      </w:r>
      <w:r>
        <w:rPr>
          <w:rFonts w:hint="eastAsia" w:ascii="Times New Roman" w:hAnsi="Times New Roman" w:eastAsia="楷体_GB2312" w:cs="Times New Roman"/>
          <w:kern w:val="0"/>
          <w:sz w:val="32"/>
          <w:szCs w:val="32"/>
          <w:lang w:bidi="en-US"/>
        </w:rPr>
        <w:t>六</w:t>
      </w:r>
      <w:r>
        <w:rPr>
          <w:rFonts w:ascii="Times New Roman" w:hAnsi="Times New Roman" w:eastAsia="楷体_GB2312" w:cs="Times New Roman"/>
          <w:kern w:val="0"/>
          <w:sz w:val="32"/>
          <w:szCs w:val="32"/>
          <w:lang w:bidi="en-US"/>
        </w:rPr>
        <w:t>节  健全规划实施机制</w:t>
      </w:r>
      <w:bookmarkEnd w:id="177"/>
      <w:bookmarkEnd w:id="178"/>
      <w:bookmarkEnd w:id="179"/>
      <w:bookmarkEnd w:id="180"/>
      <w:bookmarkEnd w:id="181"/>
    </w:p>
    <w:p>
      <w:pPr>
        <w:pStyle w:val="15"/>
        <w:widowControl w:val="0"/>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加强统一领导、协调各方，调控引导社会资源，合理配置公共资源，有效引导社会预期，形成推进规划实施的强大合力。建立以国民经济和社会发展总体规划为统领，以国土空间规划为基础，以专项规划为支撑，共同组成定位准确、边界清晰、功能互补、统一衔接的规划体系。市直有关部门同步编制一批重点专项规划，明确目标任务，谋划实施项目，保证《纲要》确定的战略重点落到实处。建立健全规划落实的监督考核评估机制，细化分解规划《纲要》确定的发展目标、主要目标和战略任务，明确牵头单位和工作责任。加强各类规划统一管理，跟踪监测规划实施进程。开展规划实施的中期评估和总结评估，鼓励开展第三方评估。完善规划实施监督考核机制，将规划实施情况纳入考核评价体系。</w:t>
      </w:r>
    </w:p>
    <w:p>
      <w:pPr>
        <w:pStyle w:val="15"/>
        <w:widowControl w:val="0"/>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奋力蹚出一条永济特色转型发展新路，是进入新发展阶段永济面临的一场新的伟大革命，是“十四五”时期全市人民为之奋斗的宏伟目标。我们要更加紧密地团结在以习近平同志为核心的党中央周围，始终牢记习近平总书记的教诲和嘱托，在省委、运城市委坚强领导下，坚定转型信念，保持战略定力，齐心协力、奋发有为，攻坚克难、敢于胜利，乘势而上奋力书写永济践行新时代中国特色社会主义新篇章！</w:t>
      </w: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tbl>
      <w:tblPr>
        <w:tblStyle w:val="19"/>
        <w:tblW w:w="8674"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67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jc w:val="center"/>
        </w:trPr>
        <w:tc>
          <w:tcPr>
            <w:tcW w:w="8674" w:type="dxa"/>
            <w:tcBorders>
              <w:tl2br w:val="nil"/>
              <w:tr2bl w:val="nil"/>
            </w:tcBorders>
            <w:vAlign w:val="center"/>
          </w:tcPr>
          <w:p>
            <w:pPr>
              <w:widowControl w:val="0"/>
              <w:wordWrap/>
              <w:adjustRightInd/>
              <w:snapToGrid/>
              <w:spacing w:beforeAutospacing="0" w:after="109" w:afterLines="30" w:afterAutospacing="0" w:line="580" w:lineRule="exact"/>
              <w:ind w:left="-105" w:leftChars="-50" w:right="-105" w:rightChars="-50" w:firstLine="0" w:firstLineChars="0"/>
              <w:jc w:val="both"/>
              <w:textAlignment w:val="auto"/>
              <w:outlineLvl w:val="9"/>
              <w:rPr>
                <w:rFonts w:hint="eastAsia" w:ascii="方正行楷简体" w:hAnsi="方正行楷简体" w:eastAsia="方正行楷简体" w:cs="方正行楷简体"/>
                <w:color w:val="auto"/>
                <w:sz w:val="30"/>
                <w:szCs w:val="30"/>
                <w:lang w:val="en-US" w:eastAsia="zh-CN"/>
              </w:rPr>
            </w:pPr>
            <w:r>
              <w:rPr>
                <w:rFonts w:hint="eastAsia" w:ascii="方正行楷简体" w:hAnsi="方正行楷简体" w:eastAsia="方正行楷简体" w:cs="方正行楷简体"/>
                <w:color w:val="auto"/>
                <w:sz w:val="30"/>
                <w:szCs w:val="30"/>
                <w:lang w:eastAsia="zh-CN"/>
              </w:rPr>
              <w:t>永济市七届人大一次会议秘书处</w:t>
            </w:r>
            <w:r>
              <w:rPr>
                <w:rFonts w:hint="eastAsia" w:ascii="方正行楷简体" w:hAnsi="方正行楷简体" w:eastAsia="方正行楷简体" w:cs="方正行楷简体"/>
                <w:color w:val="auto"/>
                <w:sz w:val="30"/>
                <w:szCs w:val="30"/>
                <w:lang w:val="en-US" w:eastAsia="zh-CN"/>
              </w:rPr>
              <w:t xml:space="preserve">             </w:t>
            </w:r>
            <w:r>
              <w:rPr>
                <w:rFonts w:hint="default" w:ascii="Times New Roman" w:hAnsi="Times New Roman" w:eastAsia="方正行楷简体" w:cs="Times New Roman"/>
                <w:color w:val="auto"/>
                <w:sz w:val="30"/>
                <w:szCs w:val="30"/>
                <w:lang w:val="en-US" w:eastAsia="zh-CN"/>
              </w:rPr>
              <w:t>202</w:t>
            </w:r>
            <w:r>
              <w:rPr>
                <w:rFonts w:hint="eastAsia" w:ascii="Times New Roman" w:hAnsi="Times New Roman" w:eastAsia="方正行楷简体" w:cs="Times New Roman"/>
                <w:color w:val="auto"/>
                <w:sz w:val="30"/>
                <w:szCs w:val="30"/>
                <w:lang w:val="en-US" w:eastAsia="zh-CN"/>
              </w:rPr>
              <w:t>1</w:t>
            </w:r>
            <w:r>
              <w:rPr>
                <w:rFonts w:hint="eastAsia" w:ascii="方正行楷简体" w:hAnsi="方正行楷简体" w:eastAsia="方正行楷简体" w:cs="方正行楷简体"/>
                <w:color w:val="auto"/>
                <w:sz w:val="30"/>
                <w:szCs w:val="30"/>
                <w:lang w:val="en-US" w:eastAsia="zh-CN"/>
              </w:rPr>
              <w:t>年</w:t>
            </w:r>
            <w:r>
              <w:rPr>
                <w:rFonts w:hint="default" w:ascii="Times New Roman" w:hAnsi="Times New Roman" w:eastAsia="方正行楷简体" w:cs="Times New Roman"/>
                <w:color w:val="auto"/>
                <w:sz w:val="30"/>
                <w:szCs w:val="30"/>
                <w:lang w:val="en-US" w:eastAsia="zh-CN"/>
              </w:rPr>
              <w:t>4</w:t>
            </w:r>
            <w:r>
              <w:rPr>
                <w:rFonts w:hint="eastAsia" w:ascii="方正行楷简体" w:hAnsi="方正行楷简体" w:eastAsia="方正行楷简体" w:cs="方正行楷简体"/>
                <w:color w:val="auto"/>
                <w:sz w:val="30"/>
                <w:szCs w:val="30"/>
                <w:lang w:val="en-US" w:eastAsia="zh-CN"/>
              </w:rPr>
              <w:t>月</w:t>
            </w:r>
            <w:r>
              <w:rPr>
                <w:rFonts w:hint="default" w:ascii="Times New Roman" w:hAnsi="Times New Roman" w:eastAsia="方正行楷简体" w:cs="Times New Roman"/>
                <w:color w:val="auto"/>
                <w:sz w:val="30"/>
                <w:szCs w:val="30"/>
                <w:lang w:val="en-US" w:eastAsia="zh-CN"/>
              </w:rPr>
              <w:t>7</w:t>
            </w:r>
            <w:r>
              <w:rPr>
                <w:rFonts w:hint="eastAsia" w:ascii="方正行楷简体" w:hAnsi="方正行楷简体" w:eastAsia="方正行楷简体" w:cs="方正行楷简体"/>
                <w:color w:val="auto"/>
                <w:sz w:val="30"/>
                <w:szCs w:val="30"/>
                <w:lang w:val="en-US" w:eastAsia="zh-CN"/>
              </w:rPr>
              <w:t>日印</w:t>
            </w:r>
          </w:p>
        </w:tc>
      </w:tr>
    </w:tbl>
    <w:p>
      <w:pPr>
        <w:widowControl w:val="0"/>
        <w:wordWrap/>
        <w:adjustRightInd/>
        <w:snapToGrid/>
        <w:spacing w:line="240" w:lineRule="exact"/>
        <w:ind w:left="0" w:leftChars="0" w:right="0" w:firstLine="0" w:firstLineChars="0"/>
        <w:jc w:val="both"/>
        <w:textAlignment w:val="auto"/>
        <w:outlineLvl w:val="9"/>
        <w:rPr>
          <w:rFonts w:ascii="Times New Roman" w:hAnsi="Times New Roman" w:eastAsia="仿宋_GB2312" w:cs="Times New Roman"/>
          <w:sz w:val="32"/>
          <w:szCs w:val="32"/>
        </w:rPr>
      </w:pPr>
    </w:p>
    <w:sectPr>
      <w:footerReference r:id="rId4" w:type="default"/>
      <w:pgSz w:w="11906" w:h="16838"/>
      <w:pgMar w:top="1984" w:right="1474" w:bottom="1814" w:left="1474" w:header="851" w:footer="992" w:gutter="0"/>
      <w:pgNumType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行楷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12zcYNMBAAClAwAADgAAAAAAAAABACAAAAAe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Quad Arrow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Quad Arrow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uWcbTFAQAAowMAAA4AAAAAAAAAAQAgAAAAHgEAAGRycy9lMm9Eb2MueG1s&#10;UEsFBgAAAAAGAAYAWQEAAFU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ODgyNzdkN2MyZDVmNzM0NmYxMTZhZWYwNjljOTcifQ=="/>
  </w:docVars>
  <w:rsids>
    <w:rsidRoot w:val="005C405E"/>
    <w:rsid w:val="0000292E"/>
    <w:rsid w:val="00007442"/>
    <w:rsid w:val="00017C9B"/>
    <w:rsid w:val="0003148B"/>
    <w:rsid w:val="00032B9F"/>
    <w:rsid w:val="000343DF"/>
    <w:rsid w:val="00052F9E"/>
    <w:rsid w:val="000604E9"/>
    <w:rsid w:val="000615F2"/>
    <w:rsid w:val="000627C8"/>
    <w:rsid w:val="00067A28"/>
    <w:rsid w:val="00072B2D"/>
    <w:rsid w:val="00076E2F"/>
    <w:rsid w:val="00085473"/>
    <w:rsid w:val="00087364"/>
    <w:rsid w:val="0009621D"/>
    <w:rsid w:val="00097464"/>
    <w:rsid w:val="000A6A2C"/>
    <w:rsid w:val="000C28BC"/>
    <w:rsid w:val="000C323C"/>
    <w:rsid w:val="000C3526"/>
    <w:rsid w:val="000C39F9"/>
    <w:rsid w:val="000C3F0E"/>
    <w:rsid w:val="000D49BF"/>
    <w:rsid w:val="000D6B1E"/>
    <w:rsid w:val="000E0090"/>
    <w:rsid w:val="000E1399"/>
    <w:rsid w:val="000E170C"/>
    <w:rsid w:val="000E1E02"/>
    <w:rsid w:val="000E47EE"/>
    <w:rsid w:val="000E5DC7"/>
    <w:rsid w:val="000E7A3E"/>
    <w:rsid w:val="000F20C6"/>
    <w:rsid w:val="00101122"/>
    <w:rsid w:val="0010269D"/>
    <w:rsid w:val="001209D6"/>
    <w:rsid w:val="00130D22"/>
    <w:rsid w:val="00130E07"/>
    <w:rsid w:val="00133E95"/>
    <w:rsid w:val="00135D3F"/>
    <w:rsid w:val="0014269B"/>
    <w:rsid w:val="001446A1"/>
    <w:rsid w:val="0015132B"/>
    <w:rsid w:val="001602A1"/>
    <w:rsid w:val="0016207E"/>
    <w:rsid w:val="001808EF"/>
    <w:rsid w:val="001A085E"/>
    <w:rsid w:val="001A582F"/>
    <w:rsid w:val="001A5E74"/>
    <w:rsid w:val="001A7C5A"/>
    <w:rsid w:val="001B31B8"/>
    <w:rsid w:val="001C0986"/>
    <w:rsid w:val="001C6DA9"/>
    <w:rsid w:val="001D2B4B"/>
    <w:rsid w:val="001D7B91"/>
    <w:rsid w:val="001E1226"/>
    <w:rsid w:val="001F01EE"/>
    <w:rsid w:val="001F1DED"/>
    <w:rsid w:val="001F6FCB"/>
    <w:rsid w:val="00204992"/>
    <w:rsid w:val="00216196"/>
    <w:rsid w:val="002167FE"/>
    <w:rsid w:val="00217952"/>
    <w:rsid w:val="002304F6"/>
    <w:rsid w:val="0023586D"/>
    <w:rsid w:val="00244A9C"/>
    <w:rsid w:val="00245E0B"/>
    <w:rsid w:val="00251879"/>
    <w:rsid w:val="00253E67"/>
    <w:rsid w:val="0025541A"/>
    <w:rsid w:val="00260707"/>
    <w:rsid w:val="00262199"/>
    <w:rsid w:val="00262798"/>
    <w:rsid w:val="00264DB4"/>
    <w:rsid w:val="0026624A"/>
    <w:rsid w:val="00266AFD"/>
    <w:rsid w:val="00270F4E"/>
    <w:rsid w:val="00271C08"/>
    <w:rsid w:val="00274AD5"/>
    <w:rsid w:val="00281920"/>
    <w:rsid w:val="00285BB3"/>
    <w:rsid w:val="0029480C"/>
    <w:rsid w:val="002A1E9C"/>
    <w:rsid w:val="002A405B"/>
    <w:rsid w:val="002A7712"/>
    <w:rsid w:val="002C2BCD"/>
    <w:rsid w:val="002C74D7"/>
    <w:rsid w:val="002D29D8"/>
    <w:rsid w:val="002D5600"/>
    <w:rsid w:val="002D6F9F"/>
    <w:rsid w:val="002D7F1C"/>
    <w:rsid w:val="002E7BA6"/>
    <w:rsid w:val="002F3ABE"/>
    <w:rsid w:val="00313939"/>
    <w:rsid w:val="0031700F"/>
    <w:rsid w:val="003337E2"/>
    <w:rsid w:val="00334632"/>
    <w:rsid w:val="00342BD5"/>
    <w:rsid w:val="00354415"/>
    <w:rsid w:val="003569D3"/>
    <w:rsid w:val="0036005D"/>
    <w:rsid w:val="00361DCC"/>
    <w:rsid w:val="00365F3A"/>
    <w:rsid w:val="00366099"/>
    <w:rsid w:val="003671FD"/>
    <w:rsid w:val="00370EEA"/>
    <w:rsid w:val="00371C27"/>
    <w:rsid w:val="00375120"/>
    <w:rsid w:val="00381C39"/>
    <w:rsid w:val="00391168"/>
    <w:rsid w:val="003954AD"/>
    <w:rsid w:val="003A1671"/>
    <w:rsid w:val="003B52D4"/>
    <w:rsid w:val="003B54A0"/>
    <w:rsid w:val="003C0D55"/>
    <w:rsid w:val="003C4391"/>
    <w:rsid w:val="003C737C"/>
    <w:rsid w:val="003C796C"/>
    <w:rsid w:val="003C7D6E"/>
    <w:rsid w:val="003D22F8"/>
    <w:rsid w:val="003E0CFD"/>
    <w:rsid w:val="003E28B6"/>
    <w:rsid w:val="003E2ABC"/>
    <w:rsid w:val="003E31B3"/>
    <w:rsid w:val="003E3F78"/>
    <w:rsid w:val="003E7D69"/>
    <w:rsid w:val="003F5700"/>
    <w:rsid w:val="00403775"/>
    <w:rsid w:val="0041050F"/>
    <w:rsid w:val="004109F2"/>
    <w:rsid w:val="00412193"/>
    <w:rsid w:val="0041699D"/>
    <w:rsid w:val="00424529"/>
    <w:rsid w:val="00450104"/>
    <w:rsid w:val="00451787"/>
    <w:rsid w:val="0046171F"/>
    <w:rsid w:val="00465624"/>
    <w:rsid w:val="004758CB"/>
    <w:rsid w:val="00485866"/>
    <w:rsid w:val="00485AD5"/>
    <w:rsid w:val="00486074"/>
    <w:rsid w:val="004910A3"/>
    <w:rsid w:val="004A0EE9"/>
    <w:rsid w:val="004A584E"/>
    <w:rsid w:val="004B02D3"/>
    <w:rsid w:val="004C11B8"/>
    <w:rsid w:val="004D5657"/>
    <w:rsid w:val="004D5F5A"/>
    <w:rsid w:val="004D5FDD"/>
    <w:rsid w:val="004D7E01"/>
    <w:rsid w:val="004E058E"/>
    <w:rsid w:val="004E3895"/>
    <w:rsid w:val="004E56A2"/>
    <w:rsid w:val="00510315"/>
    <w:rsid w:val="0051708E"/>
    <w:rsid w:val="00524FD6"/>
    <w:rsid w:val="00532749"/>
    <w:rsid w:val="00534458"/>
    <w:rsid w:val="00535923"/>
    <w:rsid w:val="00547051"/>
    <w:rsid w:val="00547F05"/>
    <w:rsid w:val="00550E8E"/>
    <w:rsid w:val="005527D3"/>
    <w:rsid w:val="00565257"/>
    <w:rsid w:val="00565C5C"/>
    <w:rsid w:val="0056746E"/>
    <w:rsid w:val="00570777"/>
    <w:rsid w:val="00573286"/>
    <w:rsid w:val="005852EF"/>
    <w:rsid w:val="00586868"/>
    <w:rsid w:val="00592EB8"/>
    <w:rsid w:val="00594782"/>
    <w:rsid w:val="005C405E"/>
    <w:rsid w:val="005C68C1"/>
    <w:rsid w:val="005D0132"/>
    <w:rsid w:val="005D2A2D"/>
    <w:rsid w:val="005D672C"/>
    <w:rsid w:val="005F064C"/>
    <w:rsid w:val="005F7A6B"/>
    <w:rsid w:val="00605CBC"/>
    <w:rsid w:val="006176A7"/>
    <w:rsid w:val="00624749"/>
    <w:rsid w:val="00624A8E"/>
    <w:rsid w:val="00626B60"/>
    <w:rsid w:val="00632BA8"/>
    <w:rsid w:val="00634D53"/>
    <w:rsid w:val="00637C37"/>
    <w:rsid w:val="00642BCB"/>
    <w:rsid w:val="00643400"/>
    <w:rsid w:val="006466BA"/>
    <w:rsid w:val="0064774C"/>
    <w:rsid w:val="00650F33"/>
    <w:rsid w:val="006522BD"/>
    <w:rsid w:val="00656160"/>
    <w:rsid w:val="00657989"/>
    <w:rsid w:val="00665167"/>
    <w:rsid w:val="00667ED9"/>
    <w:rsid w:val="006702C4"/>
    <w:rsid w:val="00670E5A"/>
    <w:rsid w:val="00672E38"/>
    <w:rsid w:val="00673299"/>
    <w:rsid w:val="00680CDB"/>
    <w:rsid w:val="00685CF3"/>
    <w:rsid w:val="00696ACA"/>
    <w:rsid w:val="006A0608"/>
    <w:rsid w:val="006B01D7"/>
    <w:rsid w:val="006B5F9C"/>
    <w:rsid w:val="006B62D1"/>
    <w:rsid w:val="006B6972"/>
    <w:rsid w:val="006B7403"/>
    <w:rsid w:val="006C329D"/>
    <w:rsid w:val="006C4C82"/>
    <w:rsid w:val="006C562C"/>
    <w:rsid w:val="006D2217"/>
    <w:rsid w:val="006E055C"/>
    <w:rsid w:val="006F07A0"/>
    <w:rsid w:val="006F5281"/>
    <w:rsid w:val="0070016C"/>
    <w:rsid w:val="00701E73"/>
    <w:rsid w:val="00703985"/>
    <w:rsid w:val="00726EB4"/>
    <w:rsid w:val="0072765F"/>
    <w:rsid w:val="0073320F"/>
    <w:rsid w:val="00736EE0"/>
    <w:rsid w:val="007371FB"/>
    <w:rsid w:val="0074087D"/>
    <w:rsid w:val="007413AA"/>
    <w:rsid w:val="00742846"/>
    <w:rsid w:val="00744684"/>
    <w:rsid w:val="00744834"/>
    <w:rsid w:val="007456C7"/>
    <w:rsid w:val="00766AC8"/>
    <w:rsid w:val="00790C81"/>
    <w:rsid w:val="0079709F"/>
    <w:rsid w:val="0079746A"/>
    <w:rsid w:val="007A3F98"/>
    <w:rsid w:val="007B686E"/>
    <w:rsid w:val="007F79C3"/>
    <w:rsid w:val="00804F2C"/>
    <w:rsid w:val="00805CED"/>
    <w:rsid w:val="0082348B"/>
    <w:rsid w:val="008341DE"/>
    <w:rsid w:val="0084152D"/>
    <w:rsid w:val="00843F2D"/>
    <w:rsid w:val="008440C5"/>
    <w:rsid w:val="00852C54"/>
    <w:rsid w:val="00855302"/>
    <w:rsid w:val="00855F6D"/>
    <w:rsid w:val="00857770"/>
    <w:rsid w:val="00861179"/>
    <w:rsid w:val="00870706"/>
    <w:rsid w:val="00872361"/>
    <w:rsid w:val="008768DF"/>
    <w:rsid w:val="008823C6"/>
    <w:rsid w:val="008828E5"/>
    <w:rsid w:val="008849E7"/>
    <w:rsid w:val="00891D7B"/>
    <w:rsid w:val="00891EC8"/>
    <w:rsid w:val="00895865"/>
    <w:rsid w:val="00895DE5"/>
    <w:rsid w:val="008A53C7"/>
    <w:rsid w:val="008C187C"/>
    <w:rsid w:val="008D1471"/>
    <w:rsid w:val="008D7995"/>
    <w:rsid w:val="008E47AB"/>
    <w:rsid w:val="008E5DA4"/>
    <w:rsid w:val="008E6771"/>
    <w:rsid w:val="008F3D34"/>
    <w:rsid w:val="008F6D48"/>
    <w:rsid w:val="009062C9"/>
    <w:rsid w:val="009116DD"/>
    <w:rsid w:val="00914C29"/>
    <w:rsid w:val="00914E9C"/>
    <w:rsid w:val="009201C5"/>
    <w:rsid w:val="0093094D"/>
    <w:rsid w:val="0093188A"/>
    <w:rsid w:val="009341B6"/>
    <w:rsid w:val="00940D8B"/>
    <w:rsid w:val="00941FEA"/>
    <w:rsid w:val="00943A11"/>
    <w:rsid w:val="0094463E"/>
    <w:rsid w:val="00950A5A"/>
    <w:rsid w:val="00953A6E"/>
    <w:rsid w:val="00953F59"/>
    <w:rsid w:val="0096215F"/>
    <w:rsid w:val="009622D9"/>
    <w:rsid w:val="009623FF"/>
    <w:rsid w:val="00964BDD"/>
    <w:rsid w:val="00976291"/>
    <w:rsid w:val="00987FEA"/>
    <w:rsid w:val="009A281C"/>
    <w:rsid w:val="009A3001"/>
    <w:rsid w:val="009A4F65"/>
    <w:rsid w:val="009A6E98"/>
    <w:rsid w:val="009B111D"/>
    <w:rsid w:val="009B286C"/>
    <w:rsid w:val="009C36F9"/>
    <w:rsid w:val="009D56AF"/>
    <w:rsid w:val="009E0022"/>
    <w:rsid w:val="009E6DC5"/>
    <w:rsid w:val="009F1542"/>
    <w:rsid w:val="009F3945"/>
    <w:rsid w:val="00A003A6"/>
    <w:rsid w:val="00A0162C"/>
    <w:rsid w:val="00A1080C"/>
    <w:rsid w:val="00A218F1"/>
    <w:rsid w:val="00A233B9"/>
    <w:rsid w:val="00A32468"/>
    <w:rsid w:val="00A33F6A"/>
    <w:rsid w:val="00A37CBE"/>
    <w:rsid w:val="00A50925"/>
    <w:rsid w:val="00A51189"/>
    <w:rsid w:val="00A55B19"/>
    <w:rsid w:val="00A5634B"/>
    <w:rsid w:val="00A64E30"/>
    <w:rsid w:val="00A67647"/>
    <w:rsid w:val="00A704B3"/>
    <w:rsid w:val="00A71AE2"/>
    <w:rsid w:val="00A73C7E"/>
    <w:rsid w:val="00A84854"/>
    <w:rsid w:val="00A84B63"/>
    <w:rsid w:val="00A931F1"/>
    <w:rsid w:val="00A94D0E"/>
    <w:rsid w:val="00A95195"/>
    <w:rsid w:val="00AA2161"/>
    <w:rsid w:val="00AA6669"/>
    <w:rsid w:val="00AB27F2"/>
    <w:rsid w:val="00AB2BCE"/>
    <w:rsid w:val="00AB6CEA"/>
    <w:rsid w:val="00AC00CA"/>
    <w:rsid w:val="00AC17B9"/>
    <w:rsid w:val="00AC1C6C"/>
    <w:rsid w:val="00AC4954"/>
    <w:rsid w:val="00AC7E83"/>
    <w:rsid w:val="00AD2778"/>
    <w:rsid w:val="00AD3192"/>
    <w:rsid w:val="00AD3C15"/>
    <w:rsid w:val="00AD4057"/>
    <w:rsid w:val="00AE4AFA"/>
    <w:rsid w:val="00AE67B1"/>
    <w:rsid w:val="00AF3272"/>
    <w:rsid w:val="00AF779C"/>
    <w:rsid w:val="00B0326A"/>
    <w:rsid w:val="00B05350"/>
    <w:rsid w:val="00B07CC0"/>
    <w:rsid w:val="00B10641"/>
    <w:rsid w:val="00B1757B"/>
    <w:rsid w:val="00B17887"/>
    <w:rsid w:val="00B2114D"/>
    <w:rsid w:val="00B252DD"/>
    <w:rsid w:val="00B44EEB"/>
    <w:rsid w:val="00B51D79"/>
    <w:rsid w:val="00B52609"/>
    <w:rsid w:val="00B57D6E"/>
    <w:rsid w:val="00B6462D"/>
    <w:rsid w:val="00B75307"/>
    <w:rsid w:val="00B806D5"/>
    <w:rsid w:val="00B84AD1"/>
    <w:rsid w:val="00B96ADE"/>
    <w:rsid w:val="00BA1D74"/>
    <w:rsid w:val="00BA2A23"/>
    <w:rsid w:val="00BC1305"/>
    <w:rsid w:val="00BC55F4"/>
    <w:rsid w:val="00BD0E1A"/>
    <w:rsid w:val="00BD19A8"/>
    <w:rsid w:val="00BD246E"/>
    <w:rsid w:val="00BD44B3"/>
    <w:rsid w:val="00BE26CD"/>
    <w:rsid w:val="00BF3B41"/>
    <w:rsid w:val="00C06258"/>
    <w:rsid w:val="00C13A9B"/>
    <w:rsid w:val="00C21493"/>
    <w:rsid w:val="00C22774"/>
    <w:rsid w:val="00C31285"/>
    <w:rsid w:val="00C33596"/>
    <w:rsid w:val="00C44967"/>
    <w:rsid w:val="00C47AA2"/>
    <w:rsid w:val="00C52C38"/>
    <w:rsid w:val="00C53A52"/>
    <w:rsid w:val="00C54C8D"/>
    <w:rsid w:val="00C5536F"/>
    <w:rsid w:val="00C647DE"/>
    <w:rsid w:val="00C67EF3"/>
    <w:rsid w:val="00C75088"/>
    <w:rsid w:val="00C768BF"/>
    <w:rsid w:val="00C80BF6"/>
    <w:rsid w:val="00C8496C"/>
    <w:rsid w:val="00C856E8"/>
    <w:rsid w:val="00C96176"/>
    <w:rsid w:val="00CA1441"/>
    <w:rsid w:val="00CB737F"/>
    <w:rsid w:val="00CC000B"/>
    <w:rsid w:val="00CE3CF1"/>
    <w:rsid w:val="00CE68C4"/>
    <w:rsid w:val="00D0172F"/>
    <w:rsid w:val="00D053B0"/>
    <w:rsid w:val="00D1591B"/>
    <w:rsid w:val="00D178D0"/>
    <w:rsid w:val="00D17BB2"/>
    <w:rsid w:val="00D2766B"/>
    <w:rsid w:val="00D27D93"/>
    <w:rsid w:val="00D421E6"/>
    <w:rsid w:val="00D51BBF"/>
    <w:rsid w:val="00D569BA"/>
    <w:rsid w:val="00D61585"/>
    <w:rsid w:val="00D6159B"/>
    <w:rsid w:val="00D65946"/>
    <w:rsid w:val="00D679E2"/>
    <w:rsid w:val="00D71528"/>
    <w:rsid w:val="00D761FF"/>
    <w:rsid w:val="00D80497"/>
    <w:rsid w:val="00D93BA3"/>
    <w:rsid w:val="00DA52C6"/>
    <w:rsid w:val="00DB628C"/>
    <w:rsid w:val="00DE3335"/>
    <w:rsid w:val="00DE3ACF"/>
    <w:rsid w:val="00DE40FA"/>
    <w:rsid w:val="00DF03BC"/>
    <w:rsid w:val="00DF5632"/>
    <w:rsid w:val="00E05182"/>
    <w:rsid w:val="00E05F75"/>
    <w:rsid w:val="00E07ED6"/>
    <w:rsid w:val="00E10C20"/>
    <w:rsid w:val="00E133C5"/>
    <w:rsid w:val="00E1791A"/>
    <w:rsid w:val="00E257EB"/>
    <w:rsid w:val="00E3133D"/>
    <w:rsid w:val="00E32E9C"/>
    <w:rsid w:val="00E40745"/>
    <w:rsid w:val="00E440B5"/>
    <w:rsid w:val="00E5095A"/>
    <w:rsid w:val="00E50CE3"/>
    <w:rsid w:val="00E60E5C"/>
    <w:rsid w:val="00E72879"/>
    <w:rsid w:val="00E73C2C"/>
    <w:rsid w:val="00E941D1"/>
    <w:rsid w:val="00EA40A9"/>
    <w:rsid w:val="00EB1963"/>
    <w:rsid w:val="00EB4FFE"/>
    <w:rsid w:val="00EC51D6"/>
    <w:rsid w:val="00ED369D"/>
    <w:rsid w:val="00EE3070"/>
    <w:rsid w:val="00EF1C0B"/>
    <w:rsid w:val="00EF4EBC"/>
    <w:rsid w:val="00EF7348"/>
    <w:rsid w:val="00F02D90"/>
    <w:rsid w:val="00F07C75"/>
    <w:rsid w:val="00F07E07"/>
    <w:rsid w:val="00F31373"/>
    <w:rsid w:val="00F43002"/>
    <w:rsid w:val="00F5231E"/>
    <w:rsid w:val="00F54335"/>
    <w:rsid w:val="00F61A1F"/>
    <w:rsid w:val="00F71721"/>
    <w:rsid w:val="00F719AD"/>
    <w:rsid w:val="00F7507E"/>
    <w:rsid w:val="00F80FAC"/>
    <w:rsid w:val="00F902F9"/>
    <w:rsid w:val="00FA6BFC"/>
    <w:rsid w:val="00FB0ACC"/>
    <w:rsid w:val="00FB5ECD"/>
    <w:rsid w:val="00FB749A"/>
    <w:rsid w:val="00FB7A0A"/>
    <w:rsid w:val="00FC04BD"/>
    <w:rsid w:val="00FC7E22"/>
    <w:rsid w:val="00FD58C5"/>
    <w:rsid w:val="00FF166B"/>
    <w:rsid w:val="00FF4180"/>
    <w:rsid w:val="00FF65F6"/>
    <w:rsid w:val="00FF7C3C"/>
    <w:rsid w:val="010A6637"/>
    <w:rsid w:val="0121553F"/>
    <w:rsid w:val="01274393"/>
    <w:rsid w:val="01557E40"/>
    <w:rsid w:val="0168526C"/>
    <w:rsid w:val="01993166"/>
    <w:rsid w:val="01DF585C"/>
    <w:rsid w:val="022C694A"/>
    <w:rsid w:val="024C1288"/>
    <w:rsid w:val="02893AD8"/>
    <w:rsid w:val="02F016E2"/>
    <w:rsid w:val="02F238B4"/>
    <w:rsid w:val="03120A25"/>
    <w:rsid w:val="03222976"/>
    <w:rsid w:val="03467894"/>
    <w:rsid w:val="03AB5C66"/>
    <w:rsid w:val="03B0781E"/>
    <w:rsid w:val="03FA638B"/>
    <w:rsid w:val="04046ED1"/>
    <w:rsid w:val="042411AE"/>
    <w:rsid w:val="044D3653"/>
    <w:rsid w:val="045E6198"/>
    <w:rsid w:val="04C660F3"/>
    <w:rsid w:val="05050102"/>
    <w:rsid w:val="050B78FE"/>
    <w:rsid w:val="05403A8A"/>
    <w:rsid w:val="05636FB7"/>
    <w:rsid w:val="058B734F"/>
    <w:rsid w:val="05E2356B"/>
    <w:rsid w:val="05F47574"/>
    <w:rsid w:val="06581140"/>
    <w:rsid w:val="065F49A4"/>
    <w:rsid w:val="068C17DB"/>
    <w:rsid w:val="06D71292"/>
    <w:rsid w:val="074109A5"/>
    <w:rsid w:val="077F084F"/>
    <w:rsid w:val="07A961FB"/>
    <w:rsid w:val="07DD2889"/>
    <w:rsid w:val="07E01D61"/>
    <w:rsid w:val="08141A4A"/>
    <w:rsid w:val="086449C3"/>
    <w:rsid w:val="091751E1"/>
    <w:rsid w:val="093355A0"/>
    <w:rsid w:val="09423094"/>
    <w:rsid w:val="09450C60"/>
    <w:rsid w:val="099C66BC"/>
    <w:rsid w:val="09B16B9A"/>
    <w:rsid w:val="09C4033F"/>
    <w:rsid w:val="0A023C39"/>
    <w:rsid w:val="0A3849CA"/>
    <w:rsid w:val="0A4F3E21"/>
    <w:rsid w:val="0A6065E3"/>
    <w:rsid w:val="0AE252CF"/>
    <w:rsid w:val="0B0F3BE8"/>
    <w:rsid w:val="0B2C5836"/>
    <w:rsid w:val="0B427FDD"/>
    <w:rsid w:val="0B6033A5"/>
    <w:rsid w:val="0BA15AE4"/>
    <w:rsid w:val="0BD56720"/>
    <w:rsid w:val="0CB44A0B"/>
    <w:rsid w:val="0CB91A4C"/>
    <w:rsid w:val="0CF853ED"/>
    <w:rsid w:val="0D2B6013"/>
    <w:rsid w:val="0D9C113C"/>
    <w:rsid w:val="0DFB38B7"/>
    <w:rsid w:val="0E0450E8"/>
    <w:rsid w:val="0E4876DF"/>
    <w:rsid w:val="0E8142CF"/>
    <w:rsid w:val="0E9E26FA"/>
    <w:rsid w:val="0EA16DF2"/>
    <w:rsid w:val="0EDD36E7"/>
    <w:rsid w:val="0F424496"/>
    <w:rsid w:val="0F7910BC"/>
    <w:rsid w:val="0F98160E"/>
    <w:rsid w:val="0F985129"/>
    <w:rsid w:val="0FFB5E6A"/>
    <w:rsid w:val="109C32A8"/>
    <w:rsid w:val="10CB4EDF"/>
    <w:rsid w:val="10FC07AC"/>
    <w:rsid w:val="113037E0"/>
    <w:rsid w:val="118220BA"/>
    <w:rsid w:val="119960F8"/>
    <w:rsid w:val="11DD54CA"/>
    <w:rsid w:val="11DF17CB"/>
    <w:rsid w:val="11EA0ABE"/>
    <w:rsid w:val="123A420B"/>
    <w:rsid w:val="126E20D1"/>
    <w:rsid w:val="126F3C06"/>
    <w:rsid w:val="13055516"/>
    <w:rsid w:val="13221AD1"/>
    <w:rsid w:val="134E176E"/>
    <w:rsid w:val="13947B43"/>
    <w:rsid w:val="13E85C57"/>
    <w:rsid w:val="14284562"/>
    <w:rsid w:val="1470066F"/>
    <w:rsid w:val="149B3484"/>
    <w:rsid w:val="14EB2F01"/>
    <w:rsid w:val="15157DE9"/>
    <w:rsid w:val="15452A6A"/>
    <w:rsid w:val="15557E47"/>
    <w:rsid w:val="15DB28A2"/>
    <w:rsid w:val="164F6272"/>
    <w:rsid w:val="16860B46"/>
    <w:rsid w:val="16912762"/>
    <w:rsid w:val="16E12FA0"/>
    <w:rsid w:val="171D0C40"/>
    <w:rsid w:val="173A1865"/>
    <w:rsid w:val="17B83D63"/>
    <w:rsid w:val="17FB0399"/>
    <w:rsid w:val="17FD4001"/>
    <w:rsid w:val="19280C90"/>
    <w:rsid w:val="19591E6C"/>
    <w:rsid w:val="19A74BCE"/>
    <w:rsid w:val="19BF20A3"/>
    <w:rsid w:val="19ED29BF"/>
    <w:rsid w:val="19EE0FD6"/>
    <w:rsid w:val="1A282C70"/>
    <w:rsid w:val="1A4A06DB"/>
    <w:rsid w:val="1A88468D"/>
    <w:rsid w:val="1A941BC8"/>
    <w:rsid w:val="1A9E7CA6"/>
    <w:rsid w:val="1B531791"/>
    <w:rsid w:val="1B7E4AFC"/>
    <w:rsid w:val="1B9C0C1A"/>
    <w:rsid w:val="1BB83DF2"/>
    <w:rsid w:val="1BCD2AFD"/>
    <w:rsid w:val="1C0306C2"/>
    <w:rsid w:val="1C593B00"/>
    <w:rsid w:val="1C684CA1"/>
    <w:rsid w:val="1CAA32C1"/>
    <w:rsid w:val="1D267B01"/>
    <w:rsid w:val="1DB5018D"/>
    <w:rsid w:val="1DBA7F42"/>
    <w:rsid w:val="1DDF5DC6"/>
    <w:rsid w:val="1E1F17C5"/>
    <w:rsid w:val="1E357935"/>
    <w:rsid w:val="1F125EE2"/>
    <w:rsid w:val="1F186F03"/>
    <w:rsid w:val="1FD35C8F"/>
    <w:rsid w:val="20105768"/>
    <w:rsid w:val="20136771"/>
    <w:rsid w:val="201E1C9A"/>
    <w:rsid w:val="206D22D4"/>
    <w:rsid w:val="20CC7043"/>
    <w:rsid w:val="20DD4B67"/>
    <w:rsid w:val="21257D51"/>
    <w:rsid w:val="212878EB"/>
    <w:rsid w:val="213E7D69"/>
    <w:rsid w:val="21636ABC"/>
    <w:rsid w:val="21DA1D13"/>
    <w:rsid w:val="222931E1"/>
    <w:rsid w:val="22925E0F"/>
    <w:rsid w:val="22CB476C"/>
    <w:rsid w:val="22FB1AB1"/>
    <w:rsid w:val="232A4988"/>
    <w:rsid w:val="234A4BE9"/>
    <w:rsid w:val="23E56827"/>
    <w:rsid w:val="24060421"/>
    <w:rsid w:val="24461189"/>
    <w:rsid w:val="248F69E6"/>
    <w:rsid w:val="249C774D"/>
    <w:rsid w:val="24A15B46"/>
    <w:rsid w:val="24A62AF7"/>
    <w:rsid w:val="251907B5"/>
    <w:rsid w:val="263D547A"/>
    <w:rsid w:val="26B363DB"/>
    <w:rsid w:val="26B7377F"/>
    <w:rsid w:val="26D41A8E"/>
    <w:rsid w:val="281F17C5"/>
    <w:rsid w:val="28800173"/>
    <w:rsid w:val="28800186"/>
    <w:rsid w:val="28B40BAA"/>
    <w:rsid w:val="28B814E3"/>
    <w:rsid w:val="28E10630"/>
    <w:rsid w:val="29422F54"/>
    <w:rsid w:val="29427E2F"/>
    <w:rsid w:val="297A1079"/>
    <w:rsid w:val="297B3A81"/>
    <w:rsid w:val="2999333D"/>
    <w:rsid w:val="29A56364"/>
    <w:rsid w:val="29BF4212"/>
    <w:rsid w:val="2A0C54E9"/>
    <w:rsid w:val="2A177F25"/>
    <w:rsid w:val="2A4F1560"/>
    <w:rsid w:val="2A56295D"/>
    <w:rsid w:val="2A6B17D5"/>
    <w:rsid w:val="2AA8721D"/>
    <w:rsid w:val="2B4C5A38"/>
    <w:rsid w:val="2B555810"/>
    <w:rsid w:val="2B7160E7"/>
    <w:rsid w:val="2B8063CB"/>
    <w:rsid w:val="2BEB5CDE"/>
    <w:rsid w:val="2C3E11FE"/>
    <w:rsid w:val="2C4823F2"/>
    <w:rsid w:val="2C53519C"/>
    <w:rsid w:val="2C59663D"/>
    <w:rsid w:val="2CCC713E"/>
    <w:rsid w:val="2CF3014D"/>
    <w:rsid w:val="2D2A0FE2"/>
    <w:rsid w:val="2D456EC7"/>
    <w:rsid w:val="2D5214F3"/>
    <w:rsid w:val="2D527BC0"/>
    <w:rsid w:val="2D6323F2"/>
    <w:rsid w:val="2E375A58"/>
    <w:rsid w:val="2E5633BD"/>
    <w:rsid w:val="2F1E0C7D"/>
    <w:rsid w:val="2F33052C"/>
    <w:rsid w:val="2F6168FB"/>
    <w:rsid w:val="2F992462"/>
    <w:rsid w:val="30416DB0"/>
    <w:rsid w:val="306200F9"/>
    <w:rsid w:val="307770C3"/>
    <w:rsid w:val="308F0EAB"/>
    <w:rsid w:val="30941033"/>
    <w:rsid w:val="30A469A7"/>
    <w:rsid w:val="30A609A3"/>
    <w:rsid w:val="30DE0D1D"/>
    <w:rsid w:val="30DE4C16"/>
    <w:rsid w:val="30E67F15"/>
    <w:rsid w:val="30E77F48"/>
    <w:rsid w:val="31084929"/>
    <w:rsid w:val="312252F1"/>
    <w:rsid w:val="313A2FFA"/>
    <w:rsid w:val="313F24E9"/>
    <w:rsid w:val="314A10A6"/>
    <w:rsid w:val="31592DC6"/>
    <w:rsid w:val="31864561"/>
    <w:rsid w:val="31E426B1"/>
    <w:rsid w:val="322F0EDB"/>
    <w:rsid w:val="324D5880"/>
    <w:rsid w:val="32565582"/>
    <w:rsid w:val="32690F41"/>
    <w:rsid w:val="328C2540"/>
    <w:rsid w:val="32CB7944"/>
    <w:rsid w:val="32F668BF"/>
    <w:rsid w:val="33610EDC"/>
    <w:rsid w:val="33CC360F"/>
    <w:rsid w:val="33FC1D33"/>
    <w:rsid w:val="340E01EB"/>
    <w:rsid w:val="34204736"/>
    <w:rsid w:val="342D157E"/>
    <w:rsid w:val="34634C28"/>
    <w:rsid w:val="347A7C7B"/>
    <w:rsid w:val="34897EA0"/>
    <w:rsid w:val="349B4A7E"/>
    <w:rsid w:val="34B504AC"/>
    <w:rsid w:val="34F05035"/>
    <w:rsid w:val="35080BCB"/>
    <w:rsid w:val="351A6D3F"/>
    <w:rsid w:val="352213DC"/>
    <w:rsid w:val="353E6BAA"/>
    <w:rsid w:val="357064C8"/>
    <w:rsid w:val="35AB0F4D"/>
    <w:rsid w:val="35B25D23"/>
    <w:rsid w:val="35C24E75"/>
    <w:rsid w:val="35DC789C"/>
    <w:rsid w:val="360D0F3A"/>
    <w:rsid w:val="361223E7"/>
    <w:rsid w:val="3619573D"/>
    <w:rsid w:val="362B08D7"/>
    <w:rsid w:val="363C7C62"/>
    <w:rsid w:val="36504325"/>
    <w:rsid w:val="36BC481B"/>
    <w:rsid w:val="36D76536"/>
    <w:rsid w:val="373E27B9"/>
    <w:rsid w:val="37C97058"/>
    <w:rsid w:val="37CB7597"/>
    <w:rsid w:val="37ED6BFE"/>
    <w:rsid w:val="382032AB"/>
    <w:rsid w:val="3858477C"/>
    <w:rsid w:val="38A94817"/>
    <w:rsid w:val="38CF3612"/>
    <w:rsid w:val="38E232C3"/>
    <w:rsid w:val="38E621A6"/>
    <w:rsid w:val="38F94F48"/>
    <w:rsid w:val="38FA2CD5"/>
    <w:rsid w:val="39206F1D"/>
    <w:rsid w:val="39736F1C"/>
    <w:rsid w:val="397655C9"/>
    <w:rsid w:val="39CD54B7"/>
    <w:rsid w:val="39D95790"/>
    <w:rsid w:val="39D97E99"/>
    <w:rsid w:val="39F61927"/>
    <w:rsid w:val="3A105CC1"/>
    <w:rsid w:val="3A5C724C"/>
    <w:rsid w:val="3A6B57CE"/>
    <w:rsid w:val="3A6F1208"/>
    <w:rsid w:val="3A8E16B2"/>
    <w:rsid w:val="3B4945F0"/>
    <w:rsid w:val="3B4B3434"/>
    <w:rsid w:val="3B5E5A80"/>
    <w:rsid w:val="3B991DCC"/>
    <w:rsid w:val="3BC829DC"/>
    <w:rsid w:val="3BCC3D63"/>
    <w:rsid w:val="3C6E4D41"/>
    <w:rsid w:val="3C8B50A4"/>
    <w:rsid w:val="3C8C139C"/>
    <w:rsid w:val="3CED08FA"/>
    <w:rsid w:val="3CFF36BB"/>
    <w:rsid w:val="3D91534D"/>
    <w:rsid w:val="3DA206C4"/>
    <w:rsid w:val="3DBB77AD"/>
    <w:rsid w:val="3E013DC1"/>
    <w:rsid w:val="3EA71769"/>
    <w:rsid w:val="3EE71C76"/>
    <w:rsid w:val="3F26076E"/>
    <w:rsid w:val="3F5E71D6"/>
    <w:rsid w:val="3F7E610D"/>
    <w:rsid w:val="3F876734"/>
    <w:rsid w:val="3FFB400E"/>
    <w:rsid w:val="402B209C"/>
    <w:rsid w:val="4037737C"/>
    <w:rsid w:val="403816FE"/>
    <w:rsid w:val="405C13E9"/>
    <w:rsid w:val="40751F6A"/>
    <w:rsid w:val="407C6D83"/>
    <w:rsid w:val="40917591"/>
    <w:rsid w:val="40C82B26"/>
    <w:rsid w:val="416F05C5"/>
    <w:rsid w:val="41A43253"/>
    <w:rsid w:val="41BB65C9"/>
    <w:rsid w:val="4223118B"/>
    <w:rsid w:val="42C65481"/>
    <w:rsid w:val="43321617"/>
    <w:rsid w:val="43350FB5"/>
    <w:rsid w:val="43BB67F1"/>
    <w:rsid w:val="441C576F"/>
    <w:rsid w:val="447721F5"/>
    <w:rsid w:val="447F17AF"/>
    <w:rsid w:val="44824C2D"/>
    <w:rsid w:val="44B83B97"/>
    <w:rsid w:val="44CF761D"/>
    <w:rsid w:val="44E7252E"/>
    <w:rsid w:val="44FF42DA"/>
    <w:rsid w:val="454F7049"/>
    <w:rsid w:val="45727EF7"/>
    <w:rsid w:val="45826574"/>
    <w:rsid w:val="458F508B"/>
    <w:rsid w:val="459C4752"/>
    <w:rsid w:val="45BD3F19"/>
    <w:rsid w:val="46027012"/>
    <w:rsid w:val="461A6E71"/>
    <w:rsid w:val="461F5E61"/>
    <w:rsid w:val="468514AB"/>
    <w:rsid w:val="4692414E"/>
    <w:rsid w:val="46977188"/>
    <w:rsid w:val="46BB478A"/>
    <w:rsid w:val="47236FB3"/>
    <w:rsid w:val="474C7A9E"/>
    <w:rsid w:val="476A6D2B"/>
    <w:rsid w:val="47730E90"/>
    <w:rsid w:val="47B53DAE"/>
    <w:rsid w:val="47BD12FB"/>
    <w:rsid w:val="47F61738"/>
    <w:rsid w:val="48350FDC"/>
    <w:rsid w:val="48396410"/>
    <w:rsid w:val="48791E42"/>
    <w:rsid w:val="48811677"/>
    <w:rsid w:val="488D6EE4"/>
    <w:rsid w:val="48CC3898"/>
    <w:rsid w:val="48D211BA"/>
    <w:rsid w:val="48D21AC8"/>
    <w:rsid w:val="490A7E9B"/>
    <w:rsid w:val="491C6645"/>
    <w:rsid w:val="498E6CF1"/>
    <w:rsid w:val="49B61C22"/>
    <w:rsid w:val="49CE5E64"/>
    <w:rsid w:val="49D408CE"/>
    <w:rsid w:val="4A26194F"/>
    <w:rsid w:val="4A3840A5"/>
    <w:rsid w:val="4A7012B6"/>
    <w:rsid w:val="4A82645F"/>
    <w:rsid w:val="4AB86838"/>
    <w:rsid w:val="4B104AD1"/>
    <w:rsid w:val="4B30179C"/>
    <w:rsid w:val="4B3B09B8"/>
    <w:rsid w:val="4BAF51DA"/>
    <w:rsid w:val="4BB252C9"/>
    <w:rsid w:val="4BB578EA"/>
    <w:rsid w:val="4BCA7ADB"/>
    <w:rsid w:val="4BD23F14"/>
    <w:rsid w:val="4BD81261"/>
    <w:rsid w:val="4C6A5444"/>
    <w:rsid w:val="4C874372"/>
    <w:rsid w:val="4D8C40F6"/>
    <w:rsid w:val="4DDD68DF"/>
    <w:rsid w:val="4E11450B"/>
    <w:rsid w:val="4E89162F"/>
    <w:rsid w:val="4E9D36C0"/>
    <w:rsid w:val="4EF24725"/>
    <w:rsid w:val="4F0902D5"/>
    <w:rsid w:val="4F312AD4"/>
    <w:rsid w:val="4F3A1AB8"/>
    <w:rsid w:val="4F672D01"/>
    <w:rsid w:val="50026C6A"/>
    <w:rsid w:val="501B1D6C"/>
    <w:rsid w:val="50671B33"/>
    <w:rsid w:val="506947F6"/>
    <w:rsid w:val="509D07D8"/>
    <w:rsid w:val="510A5E1F"/>
    <w:rsid w:val="510A78D6"/>
    <w:rsid w:val="512646A7"/>
    <w:rsid w:val="512D6E43"/>
    <w:rsid w:val="51C57D91"/>
    <w:rsid w:val="51CF7860"/>
    <w:rsid w:val="51D64921"/>
    <w:rsid w:val="51EE7590"/>
    <w:rsid w:val="529B52EE"/>
    <w:rsid w:val="529D6D59"/>
    <w:rsid w:val="52DA0A1A"/>
    <w:rsid w:val="535544ED"/>
    <w:rsid w:val="537A26BE"/>
    <w:rsid w:val="539C7FFB"/>
    <w:rsid w:val="53FB1AE5"/>
    <w:rsid w:val="540A2EEF"/>
    <w:rsid w:val="541C1263"/>
    <w:rsid w:val="547122A1"/>
    <w:rsid w:val="548527F6"/>
    <w:rsid w:val="54DE5061"/>
    <w:rsid w:val="54F56110"/>
    <w:rsid w:val="552C63D0"/>
    <w:rsid w:val="555A5F82"/>
    <w:rsid w:val="56464272"/>
    <w:rsid w:val="566E3BA9"/>
    <w:rsid w:val="56867A75"/>
    <w:rsid w:val="56D4070B"/>
    <w:rsid w:val="56D40A6B"/>
    <w:rsid w:val="56F54DB0"/>
    <w:rsid w:val="57031675"/>
    <w:rsid w:val="573D140C"/>
    <w:rsid w:val="573E5AC5"/>
    <w:rsid w:val="57521B48"/>
    <w:rsid w:val="57F6575D"/>
    <w:rsid w:val="582D3B6C"/>
    <w:rsid w:val="586F6637"/>
    <w:rsid w:val="589D18CE"/>
    <w:rsid w:val="58E029CA"/>
    <w:rsid w:val="58FE5703"/>
    <w:rsid w:val="59235E3B"/>
    <w:rsid w:val="596D4DFF"/>
    <w:rsid w:val="599D299F"/>
    <w:rsid w:val="59C9743C"/>
    <w:rsid w:val="59F1317A"/>
    <w:rsid w:val="5A6A7471"/>
    <w:rsid w:val="5AF34F6C"/>
    <w:rsid w:val="5AF47301"/>
    <w:rsid w:val="5B2559FA"/>
    <w:rsid w:val="5B3F3CE0"/>
    <w:rsid w:val="5B764DB1"/>
    <w:rsid w:val="5B8C2F6F"/>
    <w:rsid w:val="5B8F3322"/>
    <w:rsid w:val="5BD130E2"/>
    <w:rsid w:val="5BE6385F"/>
    <w:rsid w:val="5BEF6C0A"/>
    <w:rsid w:val="5C2D4649"/>
    <w:rsid w:val="5C3E0049"/>
    <w:rsid w:val="5C4C5754"/>
    <w:rsid w:val="5CAE0261"/>
    <w:rsid w:val="5CF109D0"/>
    <w:rsid w:val="5D0D28B2"/>
    <w:rsid w:val="5D760089"/>
    <w:rsid w:val="5DAE681E"/>
    <w:rsid w:val="5E0C5EE9"/>
    <w:rsid w:val="5E340AAB"/>
    <w:rsid w:val="5E34193B"/>
    <w:rsid w:val="5E9E3AFC"/>
    <w:rsid w:val="5ED8775D"/>
    <w:rsid w:val="5EEE696A"/>
    <w:rsid w:val="5F0A2FCE"/>
    <w:rsid w:val="5F383902"/>
    <w:rsid w:val="5F5852FA"/>
    <w:rsid w:val="5F5F1769"/>
    <w:rsid w:val="5FB6184D"/>
    <w:rsid w:val="5FF579B1"/>
    <w:rsid w:val="60140FC9"/>
    <w:rsid w:val="605E6C4E"/>
    <w:rsid w:val="60873576"/>
    <w:rsid w:val="60D6615C"/>
    <w:rsid w:val="60E67311"/>
    <w:rsid w:val="60FB76BE"/>
    <w:rsid w:val="6129549B"/>
    <w:rsid w:val="61345698"/>
    <w:rsid w:val="6151037C"/>
    <w:rsid w:val="61CD3FA3"/>
    <w:rsid w:val="61EB20DE"/>
    <w:rsid w:val="6211405C"/>
    <w:rsid w:val="62236A04"/>
    <w:rsid w:val="6271795C"/>
    <w:rsid w:val="627261B9"/>
    <w:rsid w:val="62871FD5"/>
    <w:rsid w:val="629872AB"/>
    <w:rsid w:val="62AB6EEF"/>
    <w:rsid w:val="62D51A1D"/>
    <w:rsid w:val="62E7796F"/>
    <w:rsid w:val="630D0FE7"/>
    <w:rsid w:val="637B4988"/>
    <w:rsid w:val="63B41F64"/>
    <w:rsid w:val="63C45C84"/>
    <w:rsid w:val="63C868B0"/>
    <w:rsid w:val="63FC7708"/>
    <w:rsid w:val="64086DDD"/>
    <w:rsid w:val="642055BC"/>
    <w:rsid w:val="65290CC8"/>
    <w:rsid w:val="652E2E27"/>
    <w:rsid w:val="65765555"/>
    <w:rsid w:val="658214F9"/>
    <w:rsid w:val="66161BA1"/>
    <w:rsid w:val="66703EBC"/>
    <w:rsid w:val="66CC1D57"/>
    <w:rsid w:val="67701E12"/>
    <w:rsid w:val="67BC3C4B"/>
    <w:rsid w:val="67EF2E25"/>
    <w:rsid w:val="684A3185"/>
    <w:rsid w:val="686B4FA7"/>
    <w:rsid w:val="68822E03"/>
    <w:rsid w:val="689C3DC9"/>
    <w:rsid w:val="68B02A2C"/>
    <w:rsid w:val="68BD4EBB"/>
    <w:rsid w:val="692E3570"/>
    <w:rsid w:val="69830C63"/>
    <w:rsid w:val="69996515"/>
    <w:rsid w:val="69CB1DD1"/>
    <w:rsid w:val="6A0721B4"/>
    <w:rsid w:val="6A32002D"/>
    <w:rsid w:val="6ABD2CE3"/>
    <w:rsid w:val="6ACB2459"/>
    <w:rsid w:val="6AE57625"/>
    <w:rsid w:val="6B221D19"/>
    <w:rsid w:val="6B2618A8"/>
    <w:rsid w:val="6B387692"/>
    <w:rsid w:val="6B4C2E35"/>
    <w:rsid w:val="6B5A3FDE"/>
    <w:rsid w:val="6BCF52BC"/>
    <w:rsid w:val="6C5E01B0"/>
    <w:rsid w:val="6CAD115B"/>
    <w:rsid w:val="6D274CEB"/>
    <w:rsid w:val="6D334009"/>
    <w:rsid w:val="6D4C5FCA"/>
    <w:rsid w:val="6D811D93"/>
    <w:rsid w:val="6D97766A"/>
    <w:rsid w:val="6DD72DEA"/>
    <w:rsid w:val="6DF828AD"/>
    <w:rsid w:val="6E103D76"/>
    <w:rsid w:val="6E125050"/>
    <w:rsid w:val="6E4B1094"/>
    <w:rsid w:val="6E513CA0"/>
    <w:rsid w:val="6E5A514C"/>
    <w:rsid w:val="6E757532"/>
    <w:rsid w:val="6E834B81"/>
    <w:rsid w:val="6E8A2527"/>
    <w:rsid w:val="6EA52D21"/>
    <w:rsid w:val="6EB559AC"/>
    <w:rsid w:val="6F9A1C11"/>
    <w:rsid w:val="6FD241DF"/>
    <w:rsid w:val="6FE16082"/>
    <w:rsid w:val="6FF26D4E"/>
    <w:rsid w:val="6FFB01D0"/>
    <w:rsid w:val="703D030D"/>
    <w:rsid w:val="704C7C58"/>
    <w:rsid w:val="70816FEB"/>
    <w:rsid w:val="70856271"/>
    <w:rsid w:val="7092633B"/>
    <w:rsid w:val="70B00770"/>
    <w:rsid w:val="70F40655"/>
    <w:rsid w:val="70F66F47"/>
    <w:rsid w:val="710143E3"/>
    <w:rsid w:val="7148397C"/>
    <w:rsid w:val="718B25C3"/>
    <w:rsid w:val="71BA5594"/>
    <w:rsid w:val="71DD6317"/>
    <w:rsid w:val="721B1A5E"/>
    <w:rsid w:val="72646BB1"/>
    <w:rsid w:val="72BE1D82"/>
    <w:rsid w:val="73317A81"/>
    <w:rsid w:val="73465284"/>
    <w:rsid w:val="73565FFB"/>
    <w:rsid w:val="7385590D"/>
    <w:rsid w:val="74310A31"/>
    <w:rsid w:val="743720CC"/>
    <w:rsid w:val="744A2B05"/>
    <w:rsid w:val="74576830"/>
    <w:rsid w:val="745C1654"/>
    <w:rsid w:val="74641BCA"/>
    <w:rsid w:val="74934192"/>
    <w:rsid w:val="74EA1E4A"/>
    <w:rsid w:val="74F40234"/>
    <w:rsid w:val="74FC1E94"/>
    <w:rsid w:val="751665B7"/>
    <w:rsid w:val="75DA3893"/>
    <w:rsid w:val="7623181E"/>
    <w:rsid w:val="76635824"/>
    <w:rsid w:val="76A059D3"/>
    <w:rsid w:val="76E94666"/>
    <w:rsid w:val="76F30374"/>
    <w:rsid w:val="773A3F8C"/>
    <w:rsid w:val="77F52853"/>
    <w:rsid w:val="7805406E"/>
    <w:rsid w:val="785070D8"/>
    <w:rsid w:val="786E2E7B"/>
    <w:rsid w:val="78830F2E"/>
    <w:rsid w:val="78B61727"/>
    <w:rsid w:val="78C52A73"/>
    <w:rsid w:val="799D48BF"/>
    <w:rsid w:val="79BE6A93"/>
    <w:rsid w:val="79CA45D9"/>
    <w:rsid w:val="7A327D24"/>
    <w:rsid w:val="7A447657"/>
    <w:rsid w:val="7A86197D"/>
    <w:rsid w:val="7A976885"/>
    <w:rsid w:val="7AC250D7"/>
    <w:rsid w:val="7AD00C67"/>
    <w:rsid w:val="7AEB00F1"/>
    <w:rsid w:val="7AF347C7"/>
    <w:rsid w:val="7B092410"/>
    <w:rsid w:val="7B4A637C"/>
    <w:rsid w:val="7B5A0F6F"/>
    <w:rsid w:val="7BAC6FB6"/>
    <w:rsid w:val="7BCD454E"/>
    <w:rsid w:val="7BD12676"/>
    <w:rsid w:val="7C6E4D8B"/>
    <w:rsid w:val="7C9372FD"/>
    <w:rsid w:val="7C9C3CA2"/>
    <w:rsid w:val="7CEE588D"/>
    <w:rsid w:val="7D287169"/>
    <w:rsid w:val="7D565228"/>
    <w:rsid w:val="7D611BB2"/>
    <w:rsid w:val="7D7D3CE5"/>
    <w:rsid w:val="7D807E6C"/>
    <w:rsid w:val="7D9079C5"/>
    <w:rsid w:val="7E012249"/>
    <w:rsid w:val="7E2D3DC9"/>
    <w:rsid w:val="7E826089"/>
    <w:rsid w:val="7E9A7975"/>
    <w:rsid w:val="7ED36888"/>
    <w:rsid w:val="7EED75DD"/>
    <w:rsid w:val="7EFA2B5B"/>
    <w:rsid w:val="7F01427C"/>
    <w:rsid w:val="7F8C11A2"/>
    <w:rsid w:val="7FB5341B"/>
    <w:rsid w:val="7FBE31EB"/>
    <w:rsid w:val="7FC77688"/>
    <w:rsid w:val="7FC94C88"/>
    <w:rsid w:val="7FD11D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widowControl w:val="0"/>
      <w:adjustRightInd/>
      <w:snapToGrid/>
      <w:spacing w:beforeAutospacing="1" w:after="100" w:afterAutospacing="1"/>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keepNext/>
      <w:ind w:firstLine="640" w:firstLineChars="200"/>
      <w:outlineLvl w:val="1"/>
    </w:pPr>
    <w:rPr>
      <w:rFonts w:hint="eastAsia" w:ascii="仿宋_GB2312" w:hAnsi="宋体" w:eastAsia="仿宋_GB2312"/>
      <w:sz w:val="32"/>
    </w:rPr>
  </w:style>
  <w:style w:type="paragraph" w:styleId="4">
    <w:name w:val="heading 3"/>
    <w:basedOn w:val="1"/>
    <w:next w:val="1"/>
    <w:unhideWhenUsed/>
    <w:qFormat/>
    <w:uiPriority w:val="9"/>
    <w:pPr>
      <w:keepNext/>
      <w:keepLines/>
      <w:spacing w:line="413" w:lineRule="auto"/>
      <w:outlineLvl w:val="2"/>
    </w:pPr>
    <w:rPr>
      <w:b/>
      <w:sz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Document Map"/>
    <w:basedOn w:val="1"/>
    <w:link w:val="34"/>
    <w:unhideWhenUsed/>
    <w:qFormat/>
    <w:uiPriority w:val="99"/>
    <w:rPr>
      <w:rFonts w:ascii="宋体" w:eastAsia="宋体"/>
      <w:sz w:val="18"/>
      <w:szCs w:val="18"/>
    </w:rPr>
  </w:style>
  <w:style w:type="paragraph" w:styleId="7">
    <w:name w:val="Body Text"/>
    <w:basedOn w:val="1"/>
    <w:next w:val="1"/>
    <w:qFormat/>
    <w:uiPriority w:val="0"/>
    <w:pPr>
      <w:spacing w:after="120"/>
    </w:pPr>
    <w:rPr>
      <w:rFonts w:ascii="Times New Roman" w:hAnsi="Times New Roman" w:cs="Times New Roman"/>
    </w:rPr>
  </w:style>
  <w:style w:type="paragraph" w:styleId="8">
    <w:name w:val="Body Text Indent"/>
    <w:basedOn w:val="1"/>
    <w:next w:val="9"/>
    <w:unhideWhenUsed/>
    <w:qFormat/>
    <w:uiPriority w:val="99"/>
    <w:pPr>
      <w:spacing w:after="120"/>
      <w:ind w:left="420" w:leftChars="200"/>
    </w:pPr>
  </w:style>
  <w:style w:type="paragraph" w:styleId="9">
    <w:name w:val="Body Text First Indent 2"/>
    <w:basedOn w:val="8"/>
    <w:next w:val="1"/>
    <w:unhideWhenUsed/>
    <w:qFormat/>
    <w:uiPriority w:val="99"/>
    <w:pPr>
      <w:ind w:firstLine="420" w:firstLineChars="200"/>
    </w:pPr>
  </w:style>
  <w:style w:type="paragraph" w:styleId="10">
    <w:name w:val="Balloon Text"/>
    <w:basedOn w:val="1"/>
    <w:link w:val="33"/>
    <w:unhideWhenUsed/>
    <w:qFormat/>
    <w:uiPriority w:val="99"/>
    <w:rPr>
      <w:sz w:val="18"/>
      <w:szCs w:val="18"/>
    </w:rPr>
  </w:style>
  <w:style w:type="paragraph" w:styleId="11">
    <w:name w:val="footer"/>
    <w:basedOn w:val="1"/>
    <w:link w:val="31"/>
    <w:unhideWhenUsed/>
    <w:qFormat/>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pPr>
    <w:rPr>
      <w:rFonts w:ascii="黑体" w:hAnsi="黑体" w:eastAsia="黑体" w:cs="Times New Roman"/>
      <w:kern w:val="0"/>
      <w:sz w:val="30"/>
      <w:szCs w:val="30"/>
      <w:lang w:bidi="en-US"/>
    </w:rPr>
  </w:style>
  <w:style w:type="paragraph" w:styleId="14">
    <w:name w:val="toc 2"/>
    <w:basedOn w:val="1"/>
    <w:next w:val="1"/>
    <w:qFormat/>
    <w:uiPriority w:val="39"/>
    <w:pPr>
      <w:ind w:left="420" w:leftChars="200"/>
    </w:pPr>
  </w:style>
  <w:style w:type="paragraph" w:styleId="15">
    <w:name w:val="Normal (Web)"/>
    <w:basedOn w:val="1"/>
    <w:next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qFormat/>
    <w:uiPriority w:val="10"/>
    <w:pPr>
      <w:spacing w:before="240" w:after="60"/>
      <w:jc w:val="center"/>
      <w:outlineLvl w:val="0"/>
    </w:pPr>
    <w:rPr>
      <w:rFonts w:ascii="Calibri Light" w:hAnsi="Calibri Light"/>
      <w:b/>
      <w:bCs/>
      <w:kern w:val="28"/>
      <w:sz w:val="32"/>
      <w:szCs w:val="32"/>
    </w:rPr>
  </w:style>
  <w:style w:type="paragraph" w:styleId="17">
    <w:name w:val="Body Text First Indent"/>
    <w:basedOn w:val="7"/>
    <w:next w:val="8"/>
    <w:qFormat/>
    <w:uiPriority w:val="0"/>
    <w:pPr>
      <w:spacing w:after="0"/>
      <w:ind w:firstLine="420"/>
    </w:pPr>
    <w:rPr>
      <w:rFonts w:ascii="Calibri" w:hAnsi="Calibri" w:eastAsia="宋体"/>
    </w:r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Hyperlink"/>
    <w:basedOn w:val="20"/>
    <w:unhideWhenUsed/>
    <w:qFormat/>
    <w:uiPriority w:val="99"/>
    <w:rPr>
      <w:color w:val="0000FF"/>
      <w:u w:val="single"/>
    </w:rPr>
  </w:style>
  <w:style w:type="paragraph" w:customStyle="1" w:styleId="23">
    <w:name w:val="正文缩进1"/>
    <w:basedOn w:val="1"/>
    <w:qFormat/>
    <w:uiPriority w:val="0"/>
    <w:pPr>
      <w:ind w:firstLine="420" w:firstLineChars="200"/>
    </w:pPr>
    <w:rPr>
      <w:rFonts w:ascii="Times New Roman" w:hAnsi="Times New Roman" w:eastAsia="宋体" w:cs="Times New Roman"/>
      <w:szCs w:val="24"/>
    </w:rPr>
  </w:style>
  <w:style w:type="paragraph" w:customStyle="1" w:styleId="24">
    <w:name w:val="Body text|1"/>
    <w:basedOn w:val="1"/>
    <w:qFormat/>
    <w:uiPriority w:val="0"/>
    <w:pPr>
      <w:spacing w:line="456" w:lineRule="auto"/>
      <w:ind w:firstLine="400"/>
      <w:jc w:val="left"/>
    </w:pPr>
    <w:rPr>
      <w:rFonts w:ascii="宋体" w:hAnsi="宋体" w:eastAsia="宋体" w:cs="宋体"/>
      <w:sz w:val="28"/>
      <w:szCs w:val="28"/>
      <w:lang w:val="zh-TW" w:eastAsia="zh-TW" w:bidi="zh-TW"/>
    </w:rPr>
  </w:style>
  <w:style w:type="paragraph" w:customStyle="1" w:styleId="25">
    <w:name w:val="Body text|2"/>
    <w:basedOn w:val="1"/>
    <w:qFormat/>
    <w:uiPriority w:val="0"/>
    <w:pPr>
      <w:spacing w:line="608" w:lineRule="exact"/>
      <w:ind w:firstLine="660"/>
      <w:jc w:val="left"/>
    </w:pPr>
    <w:rPr>
      <w:rFonts w:ascii="宋体" w:hAnsi="宋体" w:eastAsia="宋体" w:cs="宋体"/>
      <w:sz w:val="32"/>
      <w:szCs w:val="32"/>
      <w:lang w:val="zh-TW" w:eastAsia="zh-TW" w:bidi="zh-TW"/>
    </w:rPr>
  </w:style>
  <w:style w:type="paragraph" w:customStyle="1" w:styleId="26">
    <w:name w:val="目录 31"/>
    <w:basedOn w:val="1"/>
    <w:next w:val="1"/>
    <w:qFormat/>
    <w:uiPriority w:val="0"/>
    <w:pPr>
      <w:ind w:left="840" w:leftChars="400"/>
    </w:p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9">
    <w:name w:val="NormalCharacter"/>
    <w:semiHidden/>
    <w:qFormat/>
    <w:uiPriority w:val="0"/>
    <w:rPr>
      <w:rFonts w:ascii="Calibri" w:hAnsi="Calibri" w:eastAsia="宋体" w:cs="黑体"/>
      <w:kern w:val="2"/>
      <w:sz w:val="21"/>
      <w:szCs w:val="22"/>
      <w:lang w:val="en-US" w:eastAsia="zh-CN" w:bidi="ar-SA"/>
    </w:rPr>
  </w:style>
  <w:style w:type="character" w:customStyle="1" w:styleId="30">
    <w:name w:val="页眉 Char"/>
    <w:basedOn w:val="20"/>
    <w:link w:val="12"/>
    <w:semiHidden/>
    <w:qFormat/>
    <w:uiPriority w:val="99"/>
    <w:rPr>
      <w:sz w:val="18"/>
      <w:szCs w:val="18"/>
    </w:rPr>
  </w:style>
  <w:style w:type="character" w:customStyle="1" w:styleId="31">
    <w:name w:val="页脚 Char"/>
    <w:basedOn w:val="20"/>
    <w:link w:val="11"/>
    <w:semiHidden/>
    <w:qFormat/>
    <w:uiPriority w:val="99"/>
    <w:rPr>
      <w:sz w:val="18"/>
      <w:szCs w:val="18"/>
    </w:rPr>
  </w:style>
  <w:style w:type="character" w:customStyle="1" w:styleId="32">
    <w:name w:val="bjh-p"/>
    <w:qFormat/>
    <w:uiPriority w:val="99"/>
  </w:style>
  <w:style w:type="character" w:customStyle="1" w:styleId="33">
    <w:name w:val="批注框文本 Char"/>
    <w:basedOn w:val="20"/>
    <w:link w:val="10"/>
    <w:semiHidden/>
    <w:qFormat/>
    <w:uiPriority w:val="99"/>
    <w:rPr>
      <w:rFonts w:ascii="Calibri" w:hAnsi="Calibri" w:eastAsia="宋体" w:cs="黑体"/>
      <w:kern w:val="2"/>
      <w:sz w:val="18"/>
      <w:szCs w:val="18"/>
    </w:rPr>
  </w:style>
  <w:style w:type="character" w:customStyle="1" w:styleId="34">
    <w:name w:val="文档结构图 Char"/>
    <w:basedOn w:val="20"/>
    <w:link w:val="6"/>
    <w:semiHidden/>
    <w:qFormat/>
    <w:uiPriority w:val="99"/>
    <w:rPr>
      <w:rFonts w:ascii="宋体" w:hAnsi="Calibri" w:cs="黑体"/>
      <w:kern w:val="2"/>
      <w:sz w:val="18"/>
      <w:szCs w:val="18"/>
    </w:rPr>
  </w:style>
  <w:style w:type="character" w:customStyle="1" w:styleId="35">
    <w:name w:val="font11"/>
    <w:basedOn w:val="20"/>
    <w:qFormat/>
    <w:uiPriority w:val="0"/>
    <w:rPr>
      <w:rFonts w:hint="default" w:ascii="Times New Roman" w:hAnsi="Times New Roman" w:cs="Times New Roman"/>
      <w:color w:val="000000"/>
      <w:sz w:val="20"/>
      <w:szCs w:val="20"/>
      <w:u w:val="none"/>
    </w:rPr>
  </w:style>
  <w:style w:type="character" w:customStyle="1" w:styleId="36">
    <w:name w:val="font31"/>
    <w:qFormat/>
    <w:uiPriority w:val="0"/>
    <w:rPr>
      <w:rFonts w:hint="eastAsia" w:ascii="宋体" w:hAnsi="宋体" w:eastAsia="宋体" w:cs="宋体"/>
      <w:color w:val="000000"/>
      <w:sz w:val="18"/>
      <w:szCs w:val="18"/>
      <w:u w:val="none"/>
    </w:rPr>
  </w:style>
  <w:style w:type="character" w:customStyle="1" w:styleId="37">
    <w:name w:val="font01"/>
    <w:qFormat/>
    <w:uiPriority w:val="0"/>
    <w:rPr>
      <w:rFonts w:hint="default" w:ascii="Times New Roman" w:hAnsi="Times New Roman" w:cs="Times New Roman"/>
      <w:color w:val="000000"/>
      <w:sz w:val="18"/>
      <w:szCs w:val="18"/>
      <w:u w:val="none"/>
    </w:rPr>
  </w:style>
  <w:style w:type="character" w:customStyle="1" w:styleId="38">
    <w:name w:val="font51"/>
    <w:qFormat/>
    <w:uiPriority w:val="0"/>
    <w:rPr>
      <w:rFonts w:hint="eastAsia" w:ascii="黑体" w:hAnsi="宋体" w:eastAsia="黑体" w:cs="黑体"/>
      <w:color w:val="000000"/>
      <w:sz w:val="18"/>
      <w:szCs w:val="18"/>
      <w:u w:val="none"/>
    </w:rPr>
  </w:style>
  <w:style w:type="character" w:customStyle="1" w:styleId="39">
    <w:name w:val="font41"/>
    <w:qFormat/>
    <w:uiPriority w:val="0"/>
    <w:rPr>
      <w:rFonts w:hint="default" w:ascii="Times New Roman" w:hAnsi="Times New Roman" w:cs="Times New Roman"/>
      <w:color w:val="000000"/>
      <w:sz w:val="18"/>
      <w:szCs w:val="18"/>
      <w:u w:val="none"/>
    </w:rPr>
  </w:style>
  <w:style w:type="character" w:customStyle="1" w:styleId="40">
    <w:name w:val="font221"/>
    <w:basedOn w:val="20"/>
    <w:qFormat/>
    <w:uiPriority w:val="0"/>
    <w:rPr>
      <w:rFonts w:hint="eastAsia" w:ascii="宋体" w:hAnsi="宋体" w:eastAsia="宋体" w:cs="宋体"/>
      <w:b/>
      <w:color w:val="000000"/>
      <w:sz w:val="20"/>
      <w:szCs w:val="20"/>
      <w:u w:val="none"/>
    </w:rPr>
  </w:style>
  <w:style w:type="character" w:customStyle="1" w:styleId="41">
    <w:name w:val="font321"/>
    <w:basedOn w:val="20"/>
    <w:qFormat/>
    <w:uiPriority w:val="0"/>
    <w:rPr>
      <w:rFonts w:hint="eastAsia" w:ascii="宋体" w:hAnsi="宋体" w:eastAsia="宋体" w:cs="宋体"/>
      <w:color w:val="000000"/>
      <w:sz w:val="21"/>
      <w:szCs w:val="21"/>
      <w:u w:val="none"/>
    </w:rPr>
  </w:style>
  <w:style w:type="character" w:customStyle="1" w:styleId="42">
    <w:name w:val="font141"/>
    <w:basedOn w:val="20"/>
    <w:qFormat/>
    <w:uiPriority w:val="0"/>
    <w:rPr>
      <w:rFonts w:hint="eastAsia" w:ascii="宋体" w:hAnsi="宋体" w:eastAsia="宋体" w:cs="宋体"/>
      <w:color w:val="000000"/>
      <w:sz w:val="21"/>
      <w:szCs w:val="21"/>
      <w:u w:val="none"/>
    </w:rPr>
  </w:style>
  <w:style w:type="character" w:customStyle="1" w:styleId="43">
    <w:name w:val="font151"/>
    <w:basedOn w:val="20"/>
    <w:qFormat/>
    <w:uiPriority w:val="0"/>
    <w:rPr>
      <w:rFonts w:hint="default" w:ascii="Times New Roman" w:hAnsi="Times New Roman" w:cs="Times New Roman"/>
      <w:color w:val="000000"/>
      <w:sz w:val="21"/>
      <w:szCs w:val="21"/>
      <w:u w:val="none"/>
    </w:rPr>
  </w:style>
  <w:style w:type="character" w:customStyle="1" w:styleId="44">
    <w:name w:val="font341"/>
    <w:basedOn w:val="2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128</Pages>
  <Words>66055</Words>
  <Characters>67345</Characters>
  <Lines>53</Lines>
  <Paragraphs>144</Paragraphs>
  <TotalTime>8</TotalTime>
  <ScaleCrop>false</ScaleCrop>
  <LinksUpToDate>false</LinksUpToDate>
  <CharactersWithSpaces>67683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2020-10-07T08:59:00Z</dcterms:created>
  <dc:creator>lenovo</dc:creator>
  <cp:lastModifiedBy>Administrator</cp:lastModifiedBy>
  <cp:lastPrinted>2021-03-25T03:32:00Z</cp:lastPrinted>
  <dcterms:modified xsi:type="dcterms:W3CDTF">2023-02-08T01:24:57Z</dcterms:modified>
  <dc:title>永济市七届人大一次会议文件（16）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3E72B486E6974F81835748C2391E878A</vt:lpwstr>
  </property>
</Properties>
</file>