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运城市生态环境局永济分局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根据《中华人民共和国政府信息公开条例》(国务院令第 711 号，以下简称《条例》）和国务院办公厅政府信息与政务公开办公室《关于政府信息公开工作年度报告有关事项的通知》（国办公开办函〔2019〕60 号）要求，现公布运城市生态环境局永济分局202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年度报告。本报告由总体情况、主动公开政府信息情况、收到和处理政府信息公开申请情况、政府信息公开行政复议及行政诉讼情况、存在的主要问题及改进情况、其他需要报告的事项等六部分组成，所列数据统计时限为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31日。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一、总体情况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200"/>
        <w:jc w:val="both"/>
        <w:textAlignment w:val="auto"/>
        <w:rPr>
          <w:rFonts w:hint="eastAsia" w:ascii="仿宋_GB2312" w:hAnsi="仿宋_GB2312" w:eastAsia="仿宋_GB2312" w:cs="仿宋_GB2312"/>
          <w:w w:val="96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年度，在市委、市政府的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eastAsia="zh-CN"/>
        </w:rPr>
        <w:t>正确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领导下，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全面贯彻党的十九届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 xml:space="preserve">中全会精神以及习近平总书记视察山西重要讲话精神，以习近平新时代中国特色社会主义思想为指导，坚持以人民为中心，认真落实《中华人民共和国政府信息公开条例》、《政府信息公开指南》、《政府信息公开工作要点分解实施方案》，按照“公开为原则、不公开为例外”的基本要求，突出依法、便民的原则，强化措施，扎实工作，积极推进政府信息公开工作，取得一定效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200"/>
        <w:jc w:val="both"/>
        <w:textAlignment w:val="auto"/>
        <w:rPr>
          <w:rFonts w:hint="eastAsia" w:ascii="仿宋_GB2312" w:hAnsi="仿宋_GB2312" w:eastAsia="仿宋_GB2312" w:cs="仿宋_GB2312"/>
          <w:w w:val="96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96"/>
          <w:sz w:val="32"/>
          <w:szCs w:val="32"/>
        </w:rPr>
        <w:t>一是强化组织领导。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 xml:space="preserve">局党组高度重视政务信息公开工作，不定期召开专题会议，研究、解决信息公开工作中遇到的困难和问题。特别是对于市政府部署的重要任务，及时组织专题研究，明确任务分工、工作目标，落实工作责任，确保落到实处，抓出实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96"/>
          <w:sz w:val="32"/>
          <w:szCs w:val="32"/>
        </w:rPr>
        <w:t>二是完善工作制度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进一步明确政府信息公开职责、程序及配套制度，使政府信息公开工作有章可循、有规可依。认真做好公众关注事项的回应工作，针对群众咨询和投诉事项，及时组织调查落实，逐项予以反馈。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96"/>
          <w:sz w:val="32"/>
          <w:szCs w:val="32"/>
        </w:rPr>
        <w:t>三是严格保密制度。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认真学习贯彻《中华人民共和国政府信息公开条例》、《山西省政府信息公开办法》等文件。信息公开发布时，按照谁发布、谁负责的原则，建立严格的保密审查登记制度，建立发布台账。发布审查严格、责任分工明确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6"/>
        <w:tblW w:w="76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1913"/>
        <w:gridCol w:w="1913"/>
        <w:gridCol w:w="1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宋体" w:hAnsi="宋体" w:eastAsia="宋体" w:cs="宋体"/>
          <w:b/>
          <w:sz w:val="32"/>
          <w:szCs w:val="32"/>
        </w:rPr>
        <w:t>收到和处理政府信息公开申请情况</w:t>
      </w:r>
    </w:p>
    <w:tbl>
      <w:tblPr>
        <w:tblStyle w:val="6"/>
        <w:tblW w:w="765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25"/>
        <w:gridCol w:w="2737"/>
        <w:gridCol w:w="301"/>
        <w:gridCol w:w="548"/>
        <w:gridCol w:w="548"/>
        <w:gridCol w:w="548"/>
        <w:gridCol w:w="548"/>
        <w:gridCol w:w="549"/>
        <w:gridCol w:w="5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06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359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7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4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4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0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宋体" w:hAnsi="宋体" w:eastAsia="宋体" w:cs="宋体"/>
          <w:b/>
          <w:sz w:val="32"/>
          <w:szCs w:val="32"/>
        </w:rPr>
        <w:t>政府信息公开行政复议、行政诉讼情况</w:t>
      </w:r>
    </w:p>
    <w:tbl>
      <w:tblPr>
        <w:tblStyle w:val="6"/>
        <w:tblW w:w="765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509"/>
        <w:gridCol w:w="509"/>
        <w:gridCol w:w="509"/>
        <w:gridCol w:w="509"/>
        <w:gridCol w:w="510"/>
        <w:gridCol w:w="510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5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10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5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5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5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2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年，我局信息公开工作取得了一定成绩，但也存在问题和不足，主要是由于机构改革，职能合并转移，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信息更新还不够及时。下一步，将从以下几方面改进。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96"/>
          <w:sz w:val="32"/>
          <w:szCs w:val="32"/>
        </w:rPr>
        <w:t>一是进一步加大政务公开力度方面。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充分发挥好网站、政务新媒体主阵地、主渠道作用，深化重点领域信息公开，及时、准确、规范按照要求把公众普遍关心、重点关注的信息予以公开，切实拓展主动公开的深度。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96"/>
          <w:sz w:val="32"/>
          <w:szCs w:val="32"/>
        </w:rPr>
        <w:t>二是进一步完善政务公开工作机制方面。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根据职能进一步理顺信息公开范围、职责，健全政务公开相关制度，尤其是信息审查和发布机制及动态调整机制，不断完善和调整信息公开目录，切实推动政务公开工作的开展。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96"/>
          <w:sz w:val="32"/>
          <w:szCs w:val="32"/>
        </w:rPr>
        <w:t>三是进一步加强公开工作队伍建设方面。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加强对政务公开工作人员的教育培训，组织开展相关政策法规、案例、业务操作等学习，切实提升工作人员的专业能力和水平。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运城市生态环境局永济分局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64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Calade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EB9A93"/>
    <w:multiLevelType w:val="singleLevel"/>
    <w:tmpl w:val="43EB9A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ZDgzN2ZiOTk3NGJhZjdhMTMwNzEwZjQwZDZlMGQifQ=="/>
  </w:docVars>
  <w:rsids>
    <w:rsidRoot w:val="616B0E1A"/>
    <w:rsid w:val="00033D88"/>
    <w:rsid w:val="000E69D8"/>
    <w:rsid w:val="001930A1"/>
    <w:rsid w:val="001A184F"/>
    <w:rsid w:val="00241E4A"/>
    <w:rsid w:val="00243F2D"/>
    <w:rsid w:val="0029471E"/>
    <w:rsid w:val="00336C9B"/>
    <w:rsid w:val="003744DE"/>
    <w:rsid w:val="00391700"/>
    <w:rsid w:val="003B4157"/>
    <w:rsid w:val="003C3E2F"/>
    <w:rsid w:val="00433752"/>
    <w:rsid w:val="004472F9"/>
    <w:rsid w:val="00455D2A"/>
    <w:rsid w:val="004B7BC4"/>
    <w:rsid w:val="004D2B44"/>
    <w:rsid w:val="004E7DE2"/>
    <w:rsid w:val="004F444B"/>
    <w:rsid w:val="005115DA"/>
    <w:rsid w:val="005563CE"/>
    <w:rsid w:val="00567FEA"/>
    <w:rsid w:val="00576E44"/>
    <w:rsid w:val="005B7FEF"/>
    <w:rsid w:val="005D21FD"/>
    <w:rsid w:val="0061501B"/>
    <w:rsid w:val="006700A5"/>
    <w:rsid w:val="006705D2"/>
    <w:rsid w:val="007962C5"/>
    <w:rsid w:val="007C17E2"/>
    <w:rsid w:val="007C28E9"/>
    <w:rsid w:val="007D45A8"/>
    <w:rsid w:val="007D48C6"/>
    <w:rsid w:val="0082508B"/>
    <w:rsid w:val="00893429"/>
    <w:rsid w:val="008A012B"/>
    <w:rsid w:val="008D7D33"/>
    <w:rsid w:val="008F15E3"/>
    <w:rsid w:val="0092390B"/>
    <w:rsid w:val="009433DF"/>
    <w:rsid w:val="009E06F3"/>
    <w:rsid w:val="009E2CD1"/>
    <w:rsid w:val="009F1EA7"/>
    <w:rsid w:val="00A568CE"/>
    <w:rsid w:val="00A840D2"/>
    <w:rsid w:val="00AB49FB"/>
    <w:rsid w:val="00B14C86"/>
    <w:rsid w:val="00B23F74"/>
    <w:rsid w:val="00B56FBA"/>
    <w:rsid w:val="00C5097E"/>
    <w:rsid w:val="00C6380C"/>
    <w:rsid w:val="00C660A6"/>
    <w:rsid w:val="00CB1CAD"/>
    <w:rsid w:val="00CC2A60"/>
    <w:rsid w:val="00DE2504"/>
    <w:rsid w:val="00DF0E62"/>
    <w:rsid w:val="00FB6515"/>
    <w:rsid w:val="01480CA4"/>
    <w:rsid w:val="026269D9"/>
    <w:rsid w:val="0326729A"/>
    <w:rsid w:val="067D20CD"/>
    <w:rsid w:val="0C1A4D7F"/>
    <w:rsid w:val="14190DEC"/>
    <w:rsid w:val="17C74969"/>
    <w:rsid w:val="17E96CEA"/>
    <w:rsid w:val="20701D8B"/>
    <w:rsid w:val="28D655E6"/>
    <w:rsid w:val="2B86788F"/>
    <w:rsid w:val="32FB0ECC"/>
    <w:rsid w:val="3E330EA3"/>
    <w:rsid w:val="3EAF1409"/>
    <w:rsid w:val="3EE737D1"/>
    <w:rsid w:val="44554E4B"/>
    <w:rsid w:val="48551B7F"/>
    <w:rsid w:val="495D5881"/>
    <w:rsid w:val="4B5545CD"/>
    <w:rsid w:val="4BF43031"/>
    <w:rsid w:val="51A0115D"/>
    <w:rsid w:val="54FB15E6"/>
    <w:rsid w:val="557914EB"/>
    <w:rsid w:val="55B3773F"/>
    <w:rsid w:val="5BE13598"/>
    <w:rsid w:val="5D7936CE"/>
    <w:rsid w:val="616B0E1A"/>
    <w:rsid w:val="695E0097"/>
    <w:rsid w:val="69804376"/>
    <w:rsid w:val="69DD4B27"/>
    <w:rsid w:val="6E3D41BF"/>
    <w:rsid w:val="6F853846"/>
    <w:rsid w:val="6FFF73AB"/>
    <w:rsid w:val="780C7099"/>
    <w:rsid w:val="788075C6"/>
    <w:rsid w:val="7BE91E4B"/>
    <w:rsid w:val="7CB314FB"/>
    <w:rsid w:val="9FFEECA4"/>
    <w:rsid w:val="EFFF27E3"/>
    <w:rsid w:val="EF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</w:rPr>
  </w:style>
  <w:style w:type="character" w:styleId="9">
    <w:name w:val="FollowedHyperlink"/>
    <w:basedOn w:val="7"/>
    <w:qFormat/>
    <w:uiPriority w:val="99"/>
    <w:rPr>
      <w:rFonts w:cs="Times New Roman"/>
      <w:color w:val="800080"/>
      <w:u w:val="none"/>
    </w:rPr>
  </w:style>
  <w:style w:type="character" w:styleId="10">
    <w:name w:val="Emphasis"/>
    <w:basedOn w:val="7"/>
    <w:qFormat/>
    <w:uiPriority w:val="99"/>
    <w:rPr>
      <w:rFonts w:cs="Times New Roman"/>
    </w:rPr>
  </w:style>
  <w:style w:type="character" w:styleId="11">
    <w:name w:val="HTML Definition"/>
    <w:basedOn w:val="7"/>
    <w:qFormat/>
    <w:uiPriority w:val="99"/>
    <w:rPr>
      <w:rFonts w:cs="Times New Roman"/>
    </w:rPr>
  </w:style>
  <w:style w:type="character" w:styleId="12">
    <w:name w:val="HTML Typewriter"/>
    <w:basedOn w:val="7"/>
    <w:qFormat/>
    <w:uiPriority w:val="99"/>
    <w:rPr>
      <w:rFonts w:ascii="monospace" w:hAnsi="monospace" w:cs="monospace"/>
      <w:sz w:val="20"/>
    </w:rPr>
  </w:style>
  <w:style w:type="character" w:styleId="13">
    <w:name w:val="HTML Acronym"/>
    <w:basedOn w:val="7"/>
    <w:qFormat/>
    <w:uiPriority w:val="99"/>
    <w:rPr>
      <w:rFonts w:cs="Times New Roman"/>
    </w:rPr>
  </w:style>
  <w:style w:type="character" w:styleId="14">
    <w:name w:val="HTML Variable"/>
    <w:basedOn w:val="7"/>
    <w:qFormat/>
    <w:uiPriority w:val="99"/>
    <w:rPr>
      <w:rFonts w:cs="Times New Roman"/>
    </w:rPr>
  </w:style>
  <w:style w:type="character" w:styleId="15">
    <w:name w:val="Hyperlink"/>
    <w:basedOn w:val="7"/>
    <w:qFormat/>
    <w:uiPriority w:val="99"/>
    <w:rPr>
      <w:rFonts w:cs="Times New Roman"/>
      <w:color w:val="0000FF"/>
      <w:u w:val="none"/>
    </w:rPr>
  </w:style>
  <w:style w:type="character" w:styleId="16">
    <w:name w:val="HTML Code"/>
    <w:basedOn w:val="7"/>
    <w:qFormat/>
    <w:uiPriority w:val="99"/>
    <w:rPr>
      <w:rFonts w:ascii="monospace" w:hAnsi="monospace" w:cs="monospace"/>
      <w:sz w:val="20"/>
    </w:rPr>
  </w:style>
  <w:style w:type="character" w:styleId="17">
    <w:name w:val="HTML Cite"/>
    <w:basedOn w:val="7"/>
    <w:qFormat/>
    <w:uiPriority w:val="99"/>
    <w:rPr>
      <w:rFonts w:cs="Times New Roman"/>
    </w:rPr>
  </w:style>
  <w:style w:type="character" w:styleId="18">
    <w:name w:val="HTML Keyboard"/>
    <w:basedOn w:val="7"/>
    <w:qFormat/>
    <w:uiPriority w:val="99"/>
    <w:rPr>
      <w:rFonts w:ascii="monospace" w:hAnsi="monospace" w:cs="monospace"/>
      <w:sz w:val="20"/>
    </w:rPr>
  </w:style>
  <w:style w:type="character" w:styleId="19">
    <w:name w:val="HTML Sample"/>
    <w:basedOn w:val="7"/>
    <w:qFormat/>
    <w:uiPriority w:val="99"/>
    <w:rPr>
      <w:rFonts w:ascii="monospace" w:hAnsi="monospace" w:cs="monospace"/>
    </w:rPr>
  </w:style>
  <w:style w:type="character" w:customStyle="1" w:styleId="20">
    <w:name w:val="Heading 1 Char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1">
    <w:name w:val="Footer Char"/>
    <w:basedOn w:val="7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Header Char"/>
    <w:basedOn w:val="7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2009</Words>
  <Characters>2064</Characters>
  <Lines>0</Lines>
  <Paragraphs>0</Paragraphs>
  <TotalTime>0</TotalTime>
  <ScaleCrop>false</ScaleCrop>
  <LinksUpToDate>false</LinksUpToDate>
  <CharactersWithSpaces>2108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2019-03-02T01:24:00Z</dcterms:created>
  <dc:creator>zeru</dc:creator>
  <cp:lastModifiedBy>baixin</cp:lastModifiedBy>
  <cp:lastPrinted>2023-01-11T15:50:00Z</cp:lastPrinted>
  <dcterms:modified xsi:type="dcterms:W3CDTF">2023-01-29T15:34:56Z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BC67C263D02B493A97249C102664CE37</vt:lpwstr>
  </property>
</Properties>
</file>