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925" w:type="dxa"/>
        <w:tblInd w:w="0" w:type="dxa"/>
        <w:tblLayout w:type="autofit"/>
        <w:tblCellMar>
          <w:top w:w="0" w:type="dxa"/>
          <w:left w:w="108" w:type="dxa"/>
          <w:bottom w:w="0" w:type="dxa"/>
          <w:right w:w="108" w:type="dxa"/>
        </w:tblCellMar>
      </w:tblPr>
      <w:tblGrid>
        <w:gridCol w:w="568"/>
        <w:gridCol w:w="1163"/>
        <w:gridCol w:w="2295"/>
        <w:gridCol w:w="9053"/>
        <w:gridCol w:w="1203"/>
        <w:gridCol w:w="643"/>
      </w:tblGrid>
      <w:tr>
        <w:tblPrEx>
          <w:tblCellMar>
            <w:top w:w="0" w:type="dxa"/>
            <w:left w:w="108" w:type="dxa"/>
            <w:bottom w:w="0" w:type="dxa"/>
            <w:right w:w="108" w:type="dxa"/>
          </w:tblCellMar>
        </w:tblPrEx>
        <w:trPr>
          <w:trHeight w:val="460" w:hRule="atLeast"/>
        </w:trPr>
        <w:tc>
          <w:tcPr>
            <w:tcW w:w="1731" w:type="dxa"/>
            <w:gridSpan w:val="2"/>
            <w:tcBorders>
              <w:top w:val="nil"/>
              <w:left w:val="nil"/>
              <w:bottom w:val="nil"/>
              <w:right w:val="nil"/>
            </w:tcBorders>
            <w:shd w:val="clear" w:color="auto" w:fill="auto"/>
            <w:noWrap/>
            <w:vAlign w:val="center"/>
          </w:tcPr>
          <w:p>
            <w:r>
              <w:rPr>
                <w:rFonts w:hint="eastAsia"/>
              </w:rPr>
              <w:t>附件3</w:t>
            </w:r>
          </w:p>
        </w:tc>
        <w:tc>
          <w:tcPr>
            <w:tcW w:w="2295" w:type="dxa"/>
            <w:tcBorders>
              <w:top w:val="nil"/>
              <w:left w:val="nil"/>
              <w:bottom w:val="nil"/>
              <w:right w:val="nil"/>
            </w:tcBorders>
            <w:shd w:val="clear" w:color="auto" w:fill="auto"/>
            <w:noWrap/>
            <w:vAlign w:val="center"/>
          </w:tcPr>
          <w:p>
            <w:pPr>
              <w:rPr>
                <w:rFonts w:hint="eastAsia"/>
              </w:rPr>
            </w:pPr>
          </w:p>
        </w:tc>
        <w:tc>
          <w:tcPr>
            <w:tcW w:w="9053" w:type="dxa"/>
            <w:tcBorders>
              <w:top w:val="nil"/>
              <w:left w:val="nil"/>
              <w:bottom w:val="nil"/>
              <w:right w:val="nil"/>
            </w:tcBorders>
            <w:shd w:val="clear" w:color="auto" w:fill="auto"/>
            <w:noWrap/>
            <w:vAlign w:val="center"/>
          </w:tcPr>
          <w:p/>
        </w:tc>
        <w:tc>
          <w:tcPr>
            <w:tcW w:w="1203" w:type="dxa"/>
            <w:tcBorders>
              <w:top w:val="nil"/>
              <w:left w:val="nil"/>
              <w:bottom w:val="nil"/>
              <w:right w:val="nil"/>
            </w:tcBorders>
            <w:shd w:val="clear" w:color="auto" w:fill="auto"/>
            <w:vAlign w:val="center"/>
          </w:tcPr>
          <w:p/>
        </w:tc>
        <w:tc>
          <w:tcPr>
            <w:tcW w:w="643" w:type="dxa"/>
            <w:tcBorders>
              <w:top w:val="nil"/>
              <w:left w:val="nil"/>
              <w:bottom w:val="nil"/>
              <w:right w:val="nil"/>
            </w:tcBorders>
            <w:shd w:val="clear" w:color="auto" w:fill="auto"/>
            <w:vAlign w:val="center"/>
          </w:tcPr>
          <w:p/>
        </w:tc>
      </w:tr>
      <w:tr>
        <w:tblPrEx>
          <w:tblCellMar>
            <w:top w:w="0" w:type="dxa"/>
            <w:left w:w="108" w:type="dxa"/>
            <w:bottom w:w="0" w:type="dxa"/>
            <w:right w:w="108" w:type="dxa"/>
          </w:tblCellMar>
        </w:tblPrEx>
        <w:trPr>
          <w:trHeight w:val="800" w:hRule="atLeast"/>
        </w:trPr>
        <w:tc>
          <w:tcPr>
            <w:tcW w:w="14925" w:type="dxa"/>
            <w:gridSpan w:val="6"/>
            <w:tcBorders>
              <w:top w:val="nil"/>
              <w:left w:val="nil"/>
              <w:bottom w:val="nil"/>
              <w:right w:val="nil"/>
            </w:tcBorders>
            <w:shd w:val="clear" w:color="auto" w:fill="auto"/>
            <w:noWrap/>
            <w:vAlign w:val="center"/>
          </w:tcPr>
          <w:p>
            <w:pPr>
              <w:jc w:val="center"/>
            </w:pPr>
            <w:r>
              <w:rPr>
                <w:rFonts w:hint="eastAsia" w:ascii="黑体" w:hAnsi="黑体" w:eastAsia="黑体" w:cs="黑体"/>
                <w:sz w:val="44"/>
                <w:szCs w:val="44"/>
              </w:rPr>
              <w:t>永济市虞乡镇委托执法事项清单（13项）</w:t>
            </w:r>
          </w:p>
        </w:tc>
      </w:tr>
      <w:tr>
        <w:tblPrEx>
          <w:tblCellMar>
            <w:top w:w="0" w:type="dxa"/>
            <w:left w:w="108" w:type="dxa"/>
            <w:bottom w:w="0" w:type="dxa"/>
            <w:right w:w="108" w:type="dxa"/>
          </w:tblCellMar>
        </w:tblPrEx>
        <w:trPr>
          <w:trHeight w:val="74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r>
              <w:rPr>
                <w:rFonts w:hint="eastAsia"/>
              </w:rPr>
              <w:t>序号</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r>
              <w:rPr>
                <w:rFonts w:hint="eastAsia"/>
              </w:rPr>
              <w:t>委托单位</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委托事项</w:t>
            </w:r>
          </w:p>
        </w:tc>
        <w:tc>
          <w:tcPr>
            <w:tcW w:w="90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执法依据</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受托单位</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r>
              <w:rPr>
                <w:rFonts w:hint="eastAsia"/>
              </w:rPr>
              <w:t>备注</w:t>
            </w:r>
          </w:p>
        </w:tc>
      </w:tr>
      <w:tr>
        <w:tblPrEx>
          <w:tblCellMar>
            <w:top w:w="0" w:type="dxa"/>
            <w:left w:w="108" w:type="dxa"/>
            <w:bottom w:w="0" w:type="dxa"/>
            <w:right w:w="108" w:type="dxa"/>
          </w:tblCellMar>
        </w:tblPrEx>
        <w:trPr>
          <w:trHeight w:val="1080" w:hRule="atLeast"/>
        </w:trPr>
        <w:tc>
          <w:tcPr>
            <w:tcW w:w="568" w:type="dxa"/>
            <w:tcBorders>
              <w:top w:val="nil"/>
              <w:left w:val="single" w:color="000000" w:sz="4" w:space="0"/>
              <w:bottom w:val="single" w:color="000000" w:sz="4" w:space="0"/>
              <w:right w:val="nil"/>
            </w:tcBorders>
            <w:shd w:val="clear" w:color="auto" w:fill="auto"/>
            <w:noWrap/>
            <w:vAlign w:val="center"/>
          </w:tcPr>
          <w:p>
            <w:pPr>
              <w:rPr>
                <w:rFonts w:hint="eastAsia"/>
              </w:rPr>
            </w:pPr>
            <w:r>
              <w:rPr>
                <w:rFonts w:hint="eastAsia"/>
              </w:rPr>
              <w:t>1</w:t>
            </w:r>
          </w:p>
        </w:tc>
        <w:tc>
          <w:tcPr>
            <w:tcW w:w="11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市住建局</w:t>
            </w:r>
            <w:r>
              <w:rPr>
                <w:rFonts w:hint="eastAsia"/>
              </w:rPr>
              <w:br w:type="textWrapping"/>
            </w:r>
            <w:r>
              <w:rPr>
                <w:rFonts w:hint="eastAsia"/>
              </w:rPr>
              <w:t>（9项）</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便溺，乱扔果皮、纸屑和烟头等废弃物的处罚</w:t>
            </w:r>
          </w:p>
        </w:tc>
        <w:tc>
          <w:tcPr>
            <w:tcW w:w="9053" w:type="dxa"/>
            <w:vMerge w:val="restart"/>
            <w:tcBorders>
              <w:top w:val="single" w:color="000000" w:sz="4" w:space="0"/>
              <w:left w:val="single" w:color="000000" w:sz="4" w:space="0"/>
              <w:bottom w:val="single" w:color="000000" w:sz="4" w:space="0"/>
              <w:right w:val="nil"/>
            </w:tcBorders>
            <w:shd w:val="clear" w:color="auto" w:fill="auto"/>
            <w:vAlign w:val="center"/>
          </w:tcPr>
          <w:p>
            <w:pPr>
              <w:rPr>
                <w:rFonts w:hint="eastAsia"/>
              </w:rPr>
            </w:pPr>
            <w:r>
              <w:rPr>
                <w:rFonts w:hint="eastAsia"/>
              </w:rPr>
              <w:t xml:space="preserve">   </w:t>
            </w:r>
            <w:r>
              <w:rPr>
                <w:rFonts w:hint="eastAsia"/>
              </w:rPr>
              <w:br w:type="textWrapping"/>
            </w:r>
            <w:r>
              <w:rPr>
                <w:rFonts w:hint="eastAsia"/>
              </w:rPr>
              <w:t xml:space="preserve">    </w:t>
            </w:r>
            <w:r>
              <w:rPr>
                <w:b/>
                <w:bCs/>
              </w:rPr>
              <w:t>《山西省城市市容和环境卫生管理实施办法》第四条</w:t>
            </w:r>
            <w:r>
              <w:t xml:space="preserve"> 省人民政府建设行政主管部门负责全省城市市容和环境卫生管理工作。市、 县人民政府的城市市容环境卫生行政主管部门负责本辖区内的市容和环境卫生管理工作（以下简称城市市容环境卫生行政主管部门）。其主要职责是：（一）对市容和环境卫生设施建设统一进行监督管理；（二）对城市环境卫生设施建设的统一规划；（三）对城市环境卫生经费计划实施统一调控；（四）组织实施有关城市市容环境卫生管理的法律、法规和规章。街道办事处负责本辖区内的环境卫生管理工作，业务受上级市容环境卫生行政主管部门的指导、监督。</w:t>
            </w:r>
            <w:r>
              <w:rPr>
                <w:rFonts w:hint="eastAsia"/>
              </w:rPr>
              <w:br w:type="textWrapping"/>
            </w:r>
            <w:r>
              <w:t xml:space="preserve">    </w:t>
            </w:r>
            <w:r>
              <w:rPr>
                <w:b/>
                <w:bCs/>
              </w:rPr>
              <w:t>《城市市容和环境卫生管理条例》第九条</w:t>
            </w:r>
            <w:r>
              <w:t xml:space="preserve"> 城市中的建筑物和设施，应当符合国家规定的城市容貌标准。对外开放城市、风景旅游城市和有条件的其他城市，可以结合本地具体情况，制定严于国家规定的城市容貌标准；建制镇可以参照国家规定的城市容貌标准执行。                                                                                                                                        </w:t>
            </w:r>
            <w:r>
              <w:rPr>
                <w:rFonts w:hint="eastAsia"/>
              </w:rPr>
              <w:br w:type="textWrapping"/>
            </w:r>
            <w:r>
              <w:t xml:space="preserve">    </w:t>
            </w:r>
            <w:r>
              <w:rPr>
                <w:b/>
                <w:bCs/>
              </w:rPr>
              <w:t>第三十四条</w:t>
            </w:r>
            <w:r>
              <w:t xml:space="preserve"> 有下列行为之一者，城市人民政府市容环境卫生行政主管部门或者其委托的单位除责令其纠正违法行为、采取补救措施外，可以并处警告、罚款:</w:t>
            </w:r>
            <w:r>
              <w:rPr>
                <w:rFonts w:hint="eastAsia"/>
              </w:rPr>
              <w:br w:type="textWrapping"/>
            </w:r>
            <w:r>
              <w:t xml:space="preserve">    (一)随地吐痰、便溺，乱扔果皮、纸屑和烟头等废弃物的；</w:t>
            </w:r>
            <w:r>
              <w:rPr>
                <w:rFonts w:hint="eastAsia"/>
              </w:rPr>
              <w:br w:type="textWrapping"/>
            </w:r>
            <w:r>
              <w:t xml:space="preserve">    (二)在城市建筑物、设施以及树木上涂写、刻画或者未经批准张挂、张贴宣传品等的；</w:t>
            </w:r>
            <w:r>
              <w:rPr>
                <w:rFonts w:hint="eastAsia"/>
              </w:rPr>
              <w:br w:type="textWrapping"/>
            </w:r>
            <w:r>
              <w:t xml:space="preserve">    (三)在城市人民政府规定的街道的临街建筑物的阳台和窗外，堆放、吊挂有碍市容的物品的；</w:t>
            </w:r>
            <w:r>
              <w:rPr>
                <w:rFonts w:hint="eastAsia"/>
              </w:rPr>
              <w:br w:type="textWrapping"/>
            </w:r>
            <w:r>
              <w:t xml:space="preserve">    (四)不按规定的时间、地点、方式，倾倒垃圾、粪便的；</w:t>
            </w:r>
            <w:r>
              <w:rPr>
                <w:rFonts w:hint="eastAsia"/>
              </w:rPr>
              <w:br w:type="textWrapping"/>
            </w:r>
            <w:r>
              <w:t xml:space="preserve">    (五)不履行卫生责任区清扫保洁义务或者不按规定清运、处理垃圾和粪便的；</w:t>
            </w:r>
            <w:r>
              <w:rPr>
                <w:rFonts w:hint="eastAsia"/>
              </w:rPr>
              <w:br w:type="textWrapping"/>
            </w:r>
            <w:r>
              <w:t xml:space="preserve">    (六)运输液体、散装货物不作密封、包扎、覆盖，造成泄漏、遗撒的；</w:t>
            </w:r>
            <w:r>
              <w:rPr>
                <w:rFonts w:hint="eastAsia"/>
              </w:rPr>
              <w:br w:type="textWrapping"/>
            </w:r>
            <w:r>
              <w:t xml:space="preserve">    (七)临街工地不设置护栏或者不作遮挡、停工场地不及时整理并作必要覆盖或者竣工后不及时清理和平整场地，影响市容和环境卫生的。</w:t>
            </w:r>
            <w:r>
              <w:rPr>
                <w:rFonts w:hint="eastAsia"/>
              </w:rPr>
              <w:br w:type="textWrapping"/>
            </w:r>
            <w:r>
              <w:t xml:space="preserve">    </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虞乡镇</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1240" w:hRule="atLeast"/>
        </w:trPr>
        <w:tc>
          <w:tcPr>
            <w:tcW w:w="568" w:type="dxa"/>
            <w:tcBorders>
              <w:top w:val="nil"/>
              <w:left w:val="single" w:color="000000" w:sz="4" w:space="0"/>
              <w:bottom w:val="single" w:color="000000" w:sz="4" w:space="0"/>
              <w:right w:val="nil"/>
            </w:tcBorders>
            <w:shd w:val="clear" w:color="auto" w:fill="auto"/>
            <w:noWrap/>
            <w:vAlign w:val="center"/>
          </w:tcPr>
          <w:p>
            <w:r>
              <w:rPr>
                <w:rFonts w:hint="eastAsia"/>
              </w:rPr>
              <w:t>2</w:t>
            </w:r>
          </w:p>
        </w:tc>
        <w:tc>
          <w:tcPr>
            <w:tcW w:w="1163" w:type="dxa"/>
            <w:vMerge w:val="continue"/>
            <w:tcBorders>
              <w:top w:val="single" w:color="000000" w:sz="4" w:space="0"/>
              <w:left w:val="single" w:color="000000" w:sz="4" w:space="0"/>
              <w:bottom w:val="single" w:color="000000" w:sz="4" w:space="0"/>
              <w:right w:val="single" w:color="000000" w:sz="4" w:space="0"/>
            </w:tcBorders>
            <w:vAlign w:val="center"/>
          </w:tc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不按规定的时间、地点、方式，倾倒垃圾、粪便的处罚</w:t>
            </w:r>
          </w:p>
        </w:tc>
        <w:tc>
          <w:tcPr>
            <w:tcW w:w="9053" w:type="dxa"/>
            <w:vMerge w:val="continue"/>
            <w:tcBorders>
              <w:top w:val="single" w:color="000000" w:sz="4" w:space="0"/>
              <w:left w:val="single" w:color="000000" w:sz="4" w:space="0"/>
              <w:bottom w:val="single" w:color="000000" w:sz="4" w:space="0"/>
              <w:right w:val="nil"/>
            </w:tcBorders>
            <w:vAlign w:val="center"/>
          </w:tcPr>
          <w:p/>
        </w:tc>
        <w:tc>
          <w:tcPr>
            <w:tcW w:w="1203" w:type="dxa"/>
            <w:vMerge w:val="continue"/>
            <w:tcBorders>
              <w:top w:val="single" w:color="000000" w:sz="4" w:space="0"/>
              <w:left w:val="single" w:color="000000" w:sz="4" w:space="0"/>
              <w:bottom w:val="single" w:color="000000" w:sz="4" w:space="0"/>
              <w:right w:val="single" w:color="000000" w:sz="4" w:space="0"/>
            </w:tcBorders>
            <w:vAlign w:val="center"/>
          </w:tc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1300" w:hRule="atLeast"/>
        </w:trPr>
        <w:tc>
          <w:tcPr>
            <w:tcW w:w="568" w:type="dxa"/>
            <w:tcBorders>
              <w:top w:val="nil"/>
              <w:left w:val="single" w:color="000000" w:sz="4" w:space="0"/>
              <w:bottom w:val="single" w:color="000000" w:sz="4" w:space="0"/>
              <w:right w:val="nil"/>
            </w:tcBorders>
            <w:shd w:val="clear" w:color="auto" w:fill="auto"/>
            <w:noWrap/>
            <w:vAlign w:val="center"/>
          </w:tcPr>
          <w:p>
            <w:pPr>
              <w:rPr>
                <w:rFonts w:hint="eastAsia"/>
              </w:rPr>
            </w:pPr>
            <w:r>
              <w:rPr>
                <w:rFonts w:hint="eastAsia"/>
              </w:rPr>
              <w:t>3</w:t>
            </w:r>
          </w:p>
        </w:tc>
        <w:tc>
          <w:tcPr>
            <w:tcW w:w="1163" w:type="dxa"/>
            <w:vMerge w:val="continue"/>
            <w:tcBorders>
              <w:top w:val="single" w:color="000000" w:sz="4" w:space="0"/>
              <w:left w:val="single" w:color="000000" w:sz="4" w:space="0"/>
              <w:bottom w:val="single" w:color="000000" w:sz="4" w:space="0"/>
              <w:right w:val="single" w:color="000000" w:sz="4" w:space="0"/>
            </w:tcBorders>
            <w:vAlign w:val="center"/>
          </w:tc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不履行卫生责任区清扫保洁义务或者不按规定清运、处理垃圾和粪便的处罚</w:t>
            </w:r>
          </w:p>
        </w:tc>
        <w:tc>
          <w:tcPr>
            <w:tcW w:w="9053" w:type="dxa"/>
            <w:vMerge w:val="continue"/>
            <w:tcBorders>
              <w:top w:val="single" w:color="000000" w:sz="4" w:space="0"/>
              <w:left w:val="single" w:color="000000" w:sz="4" w:space="0"/>
              <w:bottom w:val="single" w:color="000000" w:sz="4" w:space="0"/>
              <w:right w:val="nil"/>
            </w:tcBorders>
            <w:vAlign w:val="center"/>
          </w:tcPr>
          <w:p/>
        </w:tc>
        <w:tc>
          <w:tcPr>
            <w:tcW w:w="1203" w:type="dxa"/>
            <w:vMerge w:val="continue"/>
            <w:tcBorders>
              <w:top w:val="single" w:color="000000" w:sz="4" w:space="0"/>
              <w:left w:val="single" w:color="000000" w:sz="4" w:space="0"/>
              <w:bottom w:val="single" w:color="000000" w:sz="4" w:space="0"/>
              <w:right w:val="single" w:color="000000" w:sz="4" w:space="0"/>
            </w:tcBorders>
            <w:vAlign w:val="center"/>
          </w:tc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1460" w:hRule="atLeast"/>
        </w:trPr>
        <w:tc>
          <w:tcPr>
            <w:tcW w:w="568" w:type="dxa"/>
            <w:tcBorders>
              <w:top w:val="nil"/>
              <w:left w:val="single" w:color="000000" w:sz="4" w:space="0"/>
              <w:bottom w:val="single" w:color="000000" w:sz="4" w:space="0"/>
              <w:right w:val="nil"/>
            </w:tcBorders>
            <w:shd w:val="clear" w:color="auto" w:fill="auto"/>
            <w:noWrap/>
            <w:vAlign w:val="center"/>
          </w:tcPr>
          <w:p>
            <w:pPr>
              <w:rPr>
                <w:rFonts w:hint="eastAsia"/>
              </w:rPr>
            </w:pPr>
            <w:r>
              <w:rPr>
                <w:rFonts w:hint="eastAsia"/>
              </w:rPr>
              <w:t>4</w:t>
            </w:r>
          </w:p>
        </w:tc>
        <w:tc>
          <w:tcPr>
            <w:tcW w:w="1163" w:type="dxa"/>
            <w:vMerge w:val="continue"/>
            <w:tcBorders>
              <w:top w:val="single" w:color="000000" w:sz="4" w:space="0"/>
              <w:left w:val="single" w:color="000000" w:sz="4" w:space="0"/>
              <w:bottom w:val="single" w:color="000000" w:sz="4" w:space="0"/>
              <w:right w:val="single" w:color="000000" w:sz="4" w:space="0"/>
            </w:tcBorders>
            <w:vAlign w:val="center"/>
          </w:tcPr>
          <w:p/>
        </w:tc>
        <w:tc>
          <w:tcPr>
            <w:tcW w:w="2295" w:type="dxa"/>
            <w:tcBorders>
              <w:top w:val="single" w:color="000000" w:sz="4" w:space="0"/>
              <w:left w:val="nil"/>
              <w:bottom w:val="single" w:color="000000" w:sz="4" w:space="0"/>
              <w:right w:val="single" w:color="000000" w:sz="4" w:space="0"/>
            </w:tcBorders>
            <w:shd w:val="clear" w:color="auto" w:fill="auto"/>
            <w:vAlign w:val="center"/>
          </w:tcPr>
          <w:p>
            <w:pPr>
              <w:rPr>
                <w:rFonts w:hint="eastAsia"/>
              </w:rPr>
            </w:pPr>
            <w:r>
              <w:rPr>
                <w:rFonts w:hint="eastAsia"/>
              </w:rPr>
              <w:t>运输液体、散装货物不作密封、包扎、覆盖，造成泄漏、遗撒的处罚</w:t>
            </w:r>
          </w:p>
        </w:tc>
        <w:tc>
          <w:tcPr>
            <w:tcW w:w="9053" w:type="dxa"/>
            <w:vMerge w:val="continue"/>
            <w:tcBorders>
              <w:top w:val="single" w:color="000000" w:sz="4" w:space="0"/>
              <w:left w:val="single" w:color="000000" w:sz="4" w:space="0"/>
              <w:bottom w:val="single" w:color="000000" w:sz="4" w:space="0"/>
              <w:right w:val="nil"/>
            </w:tcBorders>
            <w:vAlign w:val="center"/>
          </w:tcPr>
          <w:p/>
        </w:tc>
        <w:tc>
          <w:tcPr>
            <w:tcW w:w="1203" w:type="dxa"/>
            <w:vMerge w:val="continue"/>
            <w:tcBorders>
              <w:top w:val="single" w:color="000000" w:sz="4" w:space="0"/>
              <w:left w:val="single" w:color="000000" w:sz="4" w:space="0"/>
              <w:bottom w:val="single" w:color="000000" w:sz="4" w:space="0"/>
              <w:right w:val="single" w:color="000000" w:sz="4" w:space="0"/>
            </w:tcBorders>
            <w:vAlign w:val="center"/>
          </w:tc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2060" w:hRule="atLeast"/>
        </w:trPr>
        <w:tc>
          <w:tcPr>
            <w:tcW w:w="568" w:type="dxa"/>
            <w:tcBorders>
              <w:top w:val="nil"/>
              <w:left w:val="single" w:color="000000" w:sz="4" w:space="0"/>
              <w:bottom w:val="single" w:color="000000" w:sz="4" w:space="0"/>
              <w:right w:val="nil"/>
            </w:tcBorders>
            <w:shd w:val="clear" w:color="auto" w:fill="auto"/>
            <w:noWrap/>
            <w:vAlign w:val="center"/>
          </w:tcPr>
          <w:p>
            <w:pPr>
              <w:rPr>
                <w:rFonts w:hint="eastAsia"/>
              </w:rPr>
            </w:pPr>
            <w:r>
              <w:rPr>
                <w:rFonts w:hint="eastAsia"/>
              </w:rPr>
              <w:t>5</w:t>
            </w:r>
          </w:p>
        </w:tc>
        <w:tc>
          <w:tcPr>
            <w:tcW w:w="1163" w:type="dxa"/>
            <w:vMerge w:val="continue"/>
            <w:tcBorders>
              <w:top w:val="single" w:color="000000" w:sz="4" w:space="0"/>
              <w:left w:val="single" w:color="000000" w:sz="4" w:space="0"/>
              <w:bottom w:val="single" w:color="000000" w:sz="4" w:space="0"/>
              <w:right w:val="single" w:color="000000" w:sz="4" w:space="0"/>
            </w:tcBorders>
            <w:vAlign w:val="center"/>
          </w:tcPr>
          <w:p/>
        </w:tc>
        <w:tc>
          <w:tcPr>
            <w:tcW w:w="2295" w:type="dxa"/>
            <w:tcBorders>
              <w:top w:val="single" w:color="000000" w:sz="4" w:space="0"/>
              <w:left w:val="nil"/>
              <w:bottom w:val="single" w:color="000000" w:sz="4" w:space="0"/>
              <w:right w:val="single" w:color="000000" w:sz="4" w:space="0"/>
            </w:tcBorders>
            <w:shd w:val="clear" w:color="auto" w:fill="auto"/>
            <w:vAlign w:val="center"/>
          </w:tcPr>
          <w:p>
            <w:pPr>
              <w:rPr>
                <w:rFonts w:hint="eastAsia"/>
              </w:rPr>
            </w:pPr>
            <w:r>
              <w:rPr>
                <w:rFonts w:hint="eastAsia"/>
              </w:rPr>
              <w:t>临街工地不设置护栏或者不作遮挡、停工场地不及时整理并作必要覆盖或者竣工后不及时清理和平整场地，影响市容和环境卫生的处罚</w:t>
            </w:r>
          </w:p>
        </w:tc>
        <w:tc>
          <w:tcPr>
            <w:tcW w:w="9053" w:type="dxa"/>
            <w:vMerge w:val="continue"/>
            <w:tcBorders>
              <w:top w:val="single" w:color="000000" w:sz="4" w:space="0"/>
              <w:left w:val="single" w:color="000000" w:sz="4" w:space="0"/>
              <w:bottom w:val="single" w:color="000000" w:sz="4" w:space="0"/>
              <w:right w:val="nil"/>
            </w:tcBorders>
            <w:vAlign w:val="center"/>
          </w:tcPr>
          <w:p/>
        </w:tc>
        <w:tc>
          <w:tcPr>
            <w:tcW w:w="1203" w:type="dxa"/>
            <w:vMerge w:val="continue"/>
            <w:tcBorders>
              <w:top w:val="single" w:color="000000" w:sz="4" w:space="0"/>
              <w:left w:val="single" w:color="000000" w:sz="4" w:space="0"/>
              <w:bottom w:val="single" w:color="000000" w:sz="4" w:space="0"/>
              <w:right w:val="single" w:color="000000" w:sz="4" w:space="0"/>
            </w:tcBorders>
            <w:vAlign w:val="center"/>
          </w:tc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4020" w:hRule="atLeast"/>
        </w:trPr>
        <w:tc>
          <w:tcPr>
            <w:tcW w:w="568" w:type="dxa"/>
            <w:tcBorders>
              <w:top w:val="nil"/>
              <w:left w:val="single" w:color="000000" w:sz="4" w:space="0"/>
              <w:bottom w:val="single" w:color="000000" w:sz="4" w:space="0"/>
              <w:right w:val="nil"/>
            </w:tcBorders>
            <w:shd w:val="clear" w:color="auto" w:fill="auto"/>
            <w:noWrap/>
            <w:vAlign w:val="center"/>
          </w:tcPr>
          <w:p>
            <w:pPr>
              <w:rPr>
                <w:rFonts w:hint="eastAsia"/>
              </w:rPr>
            </w:pPr>
            <w:r>
              <w:rPr>
                <w:rFonts w:hint="eastAsia"/>
              </w:rPr>
              <w:t>6</w:t>
            </w:r>
          </w:p>
        </w:tc>
        <w:tc>
          <w:tcPr>
            <w:tcW w:w="11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市住建局</w:t>
            </w:r>
            <w:r>
              <w:rPr>
                <w:rFonts w:hint="eastAsia"/>
              </w:rPr>
              <w:br w:type="textWrapping"/>
            </w:r>
            <w:r>
              <w:rPr>
                <w:rFonts w:hint="eastAsia"/>
              </w:rPr>
              <w:t>（9项）</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未经城市人民政府市容环境卫生行政主管部门同意，擅自设置大型户外广告，影响市容的处罚</w:t>
            </w:r>
          </w:p>
        </w:tc>
        <w:tc>
          <w:tcPr>
            <w:tcW w:w="9053" w:type="dxa"/>
            <w:vMerge w:val="restart"/>
            <w:tcBorders>
              <w:top w:val="single" w:color="000000" w:sz="4" w:space="0"/>
              <w:left w:val="single" w:color="000000" w:sz="4" w:space="0"/>
              <w:bottom w:val="single" w:color="000000" w:sz="4" w:space="0"/>
              <w:right w:val="nil"/>
            </w:tcBorders>
            <w:shd w:val="clear" w:color="auto" w:fill="auto"/>
            <w:vAlign w:val="center"/>
          </w:tcPr>
          <w:p>
            <w:pPr>
              <w:rPr>
                <w:rFonts w:hint="eastAsia"/>
                <w:b/>
                <w:bCs/>
              </w:rPr>
            </w:pPr>
            <w:r>
              <w:rPr>
                <w:rFonts w:hint="eastAsia"/>
                <w:b/>
                <w:bCs/>
              </w:rPr>
              <w:t xml:space="preserve">    《城市市容和环境卫生管理条例》第三十六条</w:t>
            </w:r>
            <w:r>
              <w:t xml:space="preserve"> 有下列行为之一者，由城市人民政府市容环境卫生行政主管部门或者其委托的单位责令其停止违法行为，限期清理、拆除或者采取其他补救措施，并可处以罚款：</w:t>
            </w:r>
            <w:r>
              <w:rPr>
                <w:rFonts w:hint="eastAsia"/>
              </w:rPr>
              <w:br w:type="textWrapping"/>
            </w:r>
            <w:r>
              <w:t xml:space="preserve">    (一)未经城市人民政府市容环境卫生行政主管部门同意，擅自设置大型户外广告，影响市容的；</w:t>
            </w:r>
            <w:r>
              <w:rPr>
                <w:rFonts w:hint="eastAsia"/>
              </w:rPr>
              <w:br w:type="textWrapping"/>
            </w:r>
            <w:r>
              <w:t xml:space="preserve">    (二)未经城市人民政府市容环境卫生行政主管部门批准，擅自在街道两侧和公共场地堆放物料，搭建建筑物、构筑物或者其他设施，影响市容的；</w:t>
            </w:r>
            <w:r>
              <w:rPr>
                <w:rFonts w:hint="eastAsia"/>
              </w:rPr>
              <w:br w:type="textWrapping"/>
            </w:r>
            <w:r>
              <w:t xml:space="preserve">    (三)未经批准擅自拆除环境卫生设施或者未按批准的拆迁方案进行拆迁的。</w:t>
            </w:r>
            <w:r>
              <w:rPr>
                <w:rFonts w:hint="eastAsia"/>
              </w:rPr>
              <w:br w:type="textWrapping"/>
            </w:r>
            <w:r>
              <w:t xml:space="preserve">    </w:t>
            </w:r>
            <w:r>
              <w:rPr>
                <w:b/>
                <w:bCs/>
              </w:rPr>
              <w:t>《山西省城市市容和环境卫生管理实施办法》第三十一条</w:t>
            </w:r>
            <w:r>
              <w:t xml:space="preserve"> 有下列行为之一者，城市市容环境卫生行政主管部门除责令其限期清理、拆除或者采取其他补救措施外，可根据情节并处500元以上1000元以下的罚款：</w:t>
            </w:r>
            <w:r>
              <w:rPr>
                <w:rFonts w:hint="eastAsia"/>
              </w:rPr>
              <w:br w:type="textWrapping"/>
            </w:r>
            <w:r>
              <w:t xml:space="preserve">    (一)未经批准，擅自设置大型户外广告的；</w:t>
            </w:r>
            <w:r>
              <w:rPr>
                <w:rFonts w:hint="eastAsia"/>
              </w:rPr>
              <w:br w:type="textWrapping"/>
            </w:r>
            <w:r>
              <w:t xml:space="preserve">    (二)未经批准，擅自在街道两侧和公共场地搭建临时建筑物、构筑物或其他设施的；</w:t>
            </w:r>
            <w:r>
              <w:rPr>
                <w:rFonts w:hint="eastAsia"/>
              </w:rPr>
              <w:br w:type="textWrapping"/>
            </w:r>
            <w:r>
              <w:t xml:space="preserve">    (三)未取得公厕等环境卫生设施收费许可证，擅自收费的；</w:t>
            </w:r>
            <w:r>
              <w:rPr>
                <w:rFonts w:hint="eastAsia"/>
              </w:rPr>
              <w:br w:type="textWrapping"/>
            </w:r>
            <w:r>
              <w:t xml:space="preserve">    (四)运输流浆体、散装货物不作密封、包扎、苫盖，造成泄漏、抛撒的；</w:t>
            </w:r>
            <w:r>
              <w:rPr>
                <w:rFonts w:hint="eastAsia"/>
              </w:rPr>
              <w:br w:type="textWrapping"/>
            </w:r>
            <w:r>
              <w:t xml:space="preserve">    (五)列车进入市区不关闭车内厕所或者客运列车、汽(电)车将垃圾废票抛出车外的；</w:t>
            </w:r>
            <w:r>
              <w:rPr>
                <w:rFonts w:hint="eastAsia"/>
              </w:rPr>
              <w:br w:type="textWrapping"/>
            </w:r>
            <w:r>
              <w:t xml:space="preserve">    (六)临街施工不设护拦、不作遮挡，或者竣工后不清理现场的；</w:t>
            </w:r>
            <w:r>
              <w:rPr>
                <w:rFonts w:hint="eastAsia"/>
              </w:rPr>
              <w:br w:type="textWrapping"/>
            </w:r>
            <w:r>
              <w:t xml:space="preserve">    (七)建筑垃圾、渣土、生活垃圾等未按规定处置任意倾倒的；</w:t>
            </w:r>
            <w:r>
              <w:rPr>
                <w:rFonts w:hint="eastAsia"/>
              </w:rPr>
              <w:br w:type="textWrapping"/>
            </w:r>
            <w:r>
              <w:t xml:space="preserve">    (八)未经批准私占便道及乱占公共场地堆放物料的。</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虞乡镇</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4140" w:hRule="atLeast"/>
        </w:trPr>
        <w:tc>
          <w:tcPr>
            <w:tcW w:w="568" w:type="dxa"/>
            <w:tcBorders>
              <w:top w:val="nil"/>
              <w:left w:val="single" w:color="000000" w:sz="4" w:space="0"/>
              <w:bottom w:val="single" w:color="000000" w:sz="4" w:space="0"/>
              <w:right w:val="nil"/>
            </w:tcBorders>
            <w:shd w:val="clear" w:color="auto" w:fill="auto"/>
            <w:noWrap/>
            <w:vAlign w:val="center"/>
          </w:tcPr>
          <w:p>
            <w:r>
              <w:rPr>
                <w:rFonts w:hint="eastAsia"/>
              </w:rPr>
              <w:t>7</w:t>
            </w:r>
          </w:p>
        </w:tc>
        <w:tc>
          <w:tcPr>
            <w:tcW w:w="1163" w:type="dxa"/>
            <w:vMerge w:val="continue"/>
            <w:tcBorders>
              <w:top w:val="single" w:color="000000" w:sz="4" w:space="0"/>
              <w:left w:val="single" w:color="000000" w:sz="4" w:space="0"/>
              <w:bottom w:val="single" w:color="000000" w:sz="4" w:space="0"/>
              <w:right w:val="single" w:color="000000" w:sz="4" w:space="0"/>
            </w:tcBorders>
            <w:vAlign w:val="center"/>
          </w:tc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未经城市人民政府市容环境卫生行政主管部门批准，擅自在街道两侧和公共场地堆放物料，搭建建筑物、构筑物或者其他设施，影响市容的处罚</w:t>
            </w:r>
          </w:p>
        </w:tc>
        <w:tc>
          <w:tcPr>
            <w:tcW w:w="9053" w:type="dxa"/>
            <w:vMerge w:val="continue"/>
            <w:tcBorders>
              <w:top w:val="single" w:color="000000" w:sz="4" w:space="0"/>
              <w:left w:val="single" w:color="000000" w:sz="4" w:space="0"/>
              <w:bottom w:val="single" w:color="000000" w:sz="4" w:space="0"/>
              <w:right w:val="nil"/>
            </w:tcBorders>
            <w:vAlign w:val="center"/>
          </w:tcPr>
          <w:p>
            <w:pPr>
              <w:rPr>
                <w:b/>
                <w:bCs/>
              </w:rPr>
            </w:pPr>
          </w:p>
        </w:tc>
        <w:tc>
          <w:tcPr>
            <w:tcW w:w="1203" w:type="dxa"/>
            <w:vMerge w:val="continue"/>
            <w:tcBorders>
              <w:top w:val="single" w:color="000000" w:sz="4" w:space="0"/>
              <w:left w:val="single" w:color="000000" w:sz="4" w:space="0"/>
              <w:bottom w:val="single" w:color="000000" w:sz="4" w:space="0"/>
              <w:right w:val="single" w:color="000000" w:sz="4" w:space="0"/>
            </w:tcBorders>
            <w:vAlign w:val="center"/>
          </w:tc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4760" w:hRule="atLeast"/>
        </w:trPr>
        <w:tc>
          <w:tcPr>
            <w:tcW w:w="568" w:type="dxa"/>
            <w:tcBorders>
              <w:top w:val="nil"/>
              <w:left w:val="single" w:color="000000" w:sz="4" w:space="0"/>
              <w:bottom w:val="single" w:color="000000" w:sz="4" w:space="0"/>
              <w:right w:val="nil"/>
            </w:tcBorders>
            <w:shd w:val="clear" w:color="auto" w:fill="auto"/>
            <w:noWrap/>
            <w:vAlign w:val="center"/>
          </w:tcPr>
          <w:p>
            <w:pPr>
              <w:rPr>
                <w:rFonts w:hint="eastAsia"/>
              </w:rPr>
            </w:pPr>
            <w:r>
              <w:rPr>
                <w:rFonts w:hint="eastAsia"/>
              </w:rPr>
              <w:t>8</w:t>
            </w:r>
          </w:p>
        </w:tc>
        <w:tc>
          <w:tcPr>
            <w:tcW w:w="11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市住建局</w:t>
            </w:r>
            <w:r>
              <w:rPr>
                <w:rFonts w:hint="eastAsia"/>
              </w:rPr>
              <w:br w:type="textWrapping"/>
            </w:r>
            <w:r>
              <w:rPr>
                <w:rFonts w:hint="eastAsia"/>
              </w:rPr>
              <w:t>（9项）</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擅自拆除环境卫生设施或者未按批准的拆迁方案进行拆迁的处罚</w:t>
            </w:r>
          </w:p>
        </w:tc>
        <w:tc>
          <w:tcPr>
            <w:tcW w:w="9053" w:type="dxa"/>
            <w:tcBorders>
              <w:top w:val="single" w:color="000000" w:sz="4" w:space="0"/>
              <w:left w:val="single" w:color="000000" w:sz="4" w:space="0"/>
              <w:bottom w:val="single" w:color="000000" w:sz="4" w:space="0"/>
              <w:right w:val="nil"/>
            </w:tcBorders>
            <w:shd w:val="clear" w:color="auto" w:fill="auto"/>
            <w:vAlign w:val="center"/>
          </w:tcPr>
          <w:p>
            <w:pPr>
              <w:rPr>
                <w:rFonts w:hint="eastAsia"/>
              </w:rPr>
            </w:pPr>
            <w:r>
              <w:rPr>
                <w:rFonts w:hint="eastAsia"/>
              </w:rPr>
              <w:t xml:space="preserve">    </w:t>
            </w:r>
            <w:r>
              <w:rPr>
                <w:b/>
                <w:bCs/>
              </w:rPr>
              <w:t>《城市市容和环境卫生管理条例》第三十六条</w:t>
            </w:r>
            <w:r>
              <w:t xml:space="preserve"> 有下列行为之一者，由城市人民政府市容环境卫生行政主管部门或者其委托的单位责令其停止违法行为，限期清理、拆除或者采取其他补救措施，并可处以罚款:</w:t>
            </w:r>
            <w:r>
              <w:rPr>
                <w:rFonts w:hint="eastAsia"/>
              </w:rPr>
              <w:br w:type="textWrapping"/>
            </w:r>
            <w:r>
              <w:t xml:space="preserve">    (一)未经城市人民政府市容环境卫生行政主管部门同意，擅自设置大型户外广告，影响市容的；</w:t>
            </w:r>
            <w:r>
              <w:rPr>
                <w:rFonts w:hint="eastAsia"/>
              </w:rPr>
              <w:br w:type="textWrapping"/>
            </w:r>
            <w:r>
              <w:t xml:space="preserve">    (二)未经城市人民政府市容环境卫生行政主管部门批准，擅自在街道两侧和公共场地堆放物料，搭建建筑物、构筑物或者其他设施，影响市容的；</w:t>
            </w:r>
            <w:r>
              <w:rPr>
                <w:rFonts w:hint="eastAsia"/>
              </w:rPr>
              <w:br w:type="textWrapping"/>
            </w:r>
            <w:r>
              <w:t xml:space="preserve">    (三)未经批准擅自拆除环境卫生设施或者未按批准的拆迁方案进行拆迁的。</w:t>
            </w:r>
            <w:r>
              <w:rPr>
                <w:rFonts w:hint="eastAsia"/>
              </w:rPr>
              <w:br w:type="textWrapping"/>
            </w:r>
            <w:r>
              <w:t xml:space="preserve">    </w:t>
            </w:r>
            <w:r>
              <w:rPr>
                <w:b/>
                <w:bCs/>
              </w:rPr>
              <w:t>《山西省城市市容和环境卫生管理实施办法》第三十二条</w:t>
            </w:r>
            <w:r>
              <w:t xml:space="preserve"> 有下列行为之一者，城市市容环境卫生行政主管部门除责令其限期清理、拆除或者采取其他补救措施外，可按下列规定进行处罚:</w:t>
            </w:r>
            <w:r>
              <w:rPr>
                <w:rFonts w:hint="eastAsia"/>
              </w:rPr>
              <w:br w:type="textWrapping"/>
            </w:r>
            <w:r>
              <w:t xml:space="preserve">    (一)未经批准，擅自拆除环境卫生设施或未按批准的拆迁方案进行拆迁的，处以20000元以下罚款；</w:t>
            </w:r>
            <w:r>
              <w:rPr>
                <w:rFonts w:hint="eastAsia"/>
              </w:rPr>
              <w:br w:type="textWrapping"/>
            </w:r>
            <w:r>
              <w:t xml:space="preserve">    (二)对生产过程中产生有毒、有害、有病菌的特种垃圾或废弃物，未按国家规定处理，倒入公共垃圾场(站)的，处以20000元以下罚款；</w:t>
            </w:r>
            <w:r>
              <w:rPr>
                <w:rFonts w:hint="eastAsia"/>
              </w:rPr>
              <w:br w:type="textWrapping"/>
            </w:r>
            <w:r>
              <w:t xml:space="preserve">    (三)损坏环境卫生设施及其他附属设施的，除责令按价赔偿外，处以按设施价值1至3倍的罚款。</w:t>
            </w:r>
          </w:p>
        </w:tc>
        <w:tc>
          <w:tcPr>
            <w:tcW w:w="1203" w:type="dxa"/>
            <w:vMerge w:val="continue"/>
            <w:tcBorders>
              <w:top w:val="single" w:color="000000" w:sz="4" w:space="0"/>
              <w:left w:val="single" w:color="000000" w:sz="4" w:space="0"/>
              <w:bottom w:val="single" w:color="000000" w:sz="4" w:space="0"/>
              <w:right w:val="single" w:color="000000" w:sz="4" w:space="0"/>
            </w:tcBorders>
            <w:vAlign w:val="center"/>
          </w:tc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3660" w:hRule="atLeast"/>
        </w:trPr>
        <w:tc>
          <w:tcPr>
            <w:tcW w:w="568" w:type="dxa"/>
            <w:tcBorders>
              <w:top w:val="nil"/>
              <w:left w:val="single" w:color="000000" w:sz="4" w:space="0"/>
              <w:bottom w:val="single" w:color="000000" w:sz="4" w:space="0"/>
              <w:right w:val="nil"/>
            </w:tcBorders>
            <w:shd w:val="clear" w:color="auto" w:fill="auto"/>
            <w:noWrap/>
            <w:vAlign w:val="center"/>
          </w:tcPr>
          <w:p>
            <w:r>
              <w:rPr>
                <w:rFonts w:hint="eastAsia"/>
              </w:rPr>
              <w:t>9</w:t>
            </w:r>
          </w:p>
        </w:tc>
        <w:tc>
          <w:tcPr>
            <w:tcW w:w="1163" w:type="dxa"/>
            <w:vMerge w:val="continue"/>
            <w:tcBorders>
              <w:top w:val="single" w:color="000000" w:sz="4" w:space="0"/>
              <w:left w:val="single" w:color="000000" w:sz="4" w:space="0"/>
              <w:bottom w:val="single" w:color="000000" w:sz="4" w:space="0"/>
              <w:right w:val="single" w:color="000000" w:sz="4" w:space="0"/>
            </w:tcBorders>
            <w:vAlign w:val="center"/>
          </w:tc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损坏各类环境卫生设施及其附属设施的处罚</w:t>
            </w:r>
          </w:p>
        </w:tc>
        <w:tc>
          <w:tcPr>
            <w:tcW w:w="9053" w:type="dxa"/>
            <w:tcBorders>
              <w:top w:val="single" w:color="000000" w:sz="4" w:space="0"/>
              <w:left w:val="single" w:color="000000" w:sz="4" w:space="0"/>
              <w:bottom w:val="single" w:color="000000" w:sz="4" w:space="0"/>
              <w:right w:val="nil"/>
            </w:tcBorders>
            <w:shd w:val="clear" w:color="auto" w:fill="auto"/>
            <w:vAlign w:val="center"/>
          </w:tcPr>
          <w:p>
            <w:pPr>
              <w:rPr>
                <w:rFonts w:hint="eastAsia"/>
              </w:rPr>
            </w:pPr>
            <w:r>
              <w:rPr>
                <w:rFonts w:hint="eastAsia"/>
              </w:rPr>
              <w:t xml:space="preserve">    </w:t>
            </w:r>
            <w:r>
              <w:rPr>
                <w:b/>
                <w:bCs/>
              </w:rPr>
              <w:t>《城市市容和环境卫生管理条例》第三十八条</w:t>
            </w:r>
            <w:r>
              <w:t xml:space="preserve">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r>
              <w:rPr>
                <w:rFonts w:hint="eastAsia"/>
              </w:rPr>
              <w:br w:type="textWrapping"/>
            </w:r>
            <w:r>
              <w:t xml:space="preserve">   </w:t>
            </w:r>
            <w:r>
              <w:rPr>
                <w:b/>
                <w:bCs/>
              </w:rPr>
              <w:t xml:space="preserve"> 《山西省城市市容和环境卫生管理实施办法》第三十二条</w:t>
            </w:r>
            <w:r>
              <w:t xml:space="preserve"> 有下列行为之一者，城市市容环境卫生行政主管部门除责令其限期清理、拆除或者采取其他补救措施外，可按下列规定进行处罚:</w:t>
            </w:r>
            <w:r>
              <w:rPr>
                <w:rFonts w:hint="eastAsia"/>
              </w:rPr>
              <w:br w:type="textWrapping"/>
            </w:r>
            <w:r>
              <w:t xml:space="preserve">    (一)未经批准，擅自拆除环境卫生设施或未按批准的拆迁方案进行拆迁的，处以20000元以下罚款；</w:t>
            </w:r>
            <w:r>
              <w:rPr>
                <w:rFonts w:hint="eastAsia"/>
              </w:rPr>
              <w:br w:type="textWrapping"/>
            </w:r>
            <w:r>
              <w:t xml:space="preserve">    (二)对生产过程中产生有毒、有害、有病菌的特种垃圾或废弃物，未按国家规定处理，倒入公共垃圾场(站)的，处以20000元以下罚款；</w:t>
            </w:r>
            <w:r>
              <w:rPr>
                <w:rFonts w:hint="eastAsia"/>
              </w:rPr>
              <w:br w:type="textWrapping"/>
            </w:r>
            <w:r>
              <w:t xml:space="preserve">    (三)损坏环境卫生设施及其他附属设施的，除责令按价赔偿外，处以按设施价值1至3倍的罚款。</w:t>
            </w:r>
          </w:p>
        </w:tc>
        <w:tc>
          <w:tcPr>
            <w:tcW w:w="1203" w:type="dxa"/>
            <w:vMerge w:val="continue"/>
            <w:tcBorders>
              <w:top w:val="single" w:color="000000" w:sz="4" w:space="0"/>
              <w:left w:val="single" w:color="000000" w:sz="4" w:space="0"/>
              <w:bottom w:val="single" w:color="000000" w:sz="4" w:space="0"/>
              <w:right w:val="single" w:color="000000" w:sz="4" w:space="0"/>
            </w:tcBorders>
            <w:vAlign w:val="center"/>
          </w:tc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4340" w:hRule="atLeast"/>
        </w:trPr>
        <w:tc>
          <w:tcPr>
            <w:tcW w:w="568" w:type="dxa"/>
            <w:tcBorders>
              <w:top w:val="nil"/>
              <w:left w:val="single" w:color="000000" w:sz="4" w:space="0"/>
              <w:bottom w:val="single" w:color="000000" w:sz="4" w:space="0"/>
              <w:right w:val="nil"/>
            </w:tcBorders>
            <w:shd w:val="clear" w:color="auto" w:fill="auto"/>
            <w:noWrap/>
            <w:vAlign w:val="center"/>
          </w:tcPr>
          <w:p>
            <w:r>
              <w:rPr>
                <w:rFonts w:hint="eastAsia"/>
              </w:rPr>
              <w:t>10</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市应急局</w:t>
            </w:r>
            <w:r>
              <w:rPr>
                <w:rFonts w:hint="eastAsia"/>
              </w:rPr>
              <w:br w:type="textWrapping"/>
            </w:r>
            <w:r>
              <w:rPr>
                <w:rFonts w:hint="eastAsia"/>
              </w:rPr>
              <w:t>（4项）</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对生产经营单位不具备安全生产条件开展生产经营活动的处罚</w:t>
            </w:r>
          </w:p>
        </w:tc>
        <w:tc>
          <w:tcPr>
            <w:tcW w:w="9053" w:type="dxa"/>
            <w:tcBorders>
              <w:top w:val="single" w:color="000000" w:sz="4" w:space="0"/>
              <w:left w:val="single" w:color="000000" w:sz="4" w:space="0"/>
              <w:bottom w:val="single" w:color="000000" w:sz="4" w:space="0"/>
              <w:right w:val="nil"/>
            </w:tcBorders>
            <w:shd w:val="clear" w:color="auto" w:fill="auto"/>
            <w:vAlign w:val="center"/>
          </w:tcPr>
          <w:p>
            <w:pPr>
              <w:rPr>
                <w:rFonts w:hint="eastAsia"/>
              </w:rPr>
            </w:pPr>
            <w:r>
              <w:rPr>
                <w:rFonts w:hint="eastAsia"/>
              </w:rPr>
              <w:t xml:space="preserve">    </w:t>
            </w:r>
            <w:r>
              <w:rPr>
                <w:b/>
                <w:bCs/>
              </w:rPr>
              <w:t>《中华人民共和国安全生产法》第九条</w:t>
            </w:r>
            <w:r>
              <w:t xml:space="preserve"> 国务院和县级以上地方各级人民政府应当加强对安全生产工作的领导，建立健全安全生产工作协调机制，支持、督促各有关部门依法履行安全生产监督管理职责，及时协调、解决安全生产监督管理中存在的重大问题。</w:t>
            </w:r>
            <w:r>
              <w:rPr>
                <w:rFonts w:hint="eastAsia"/>
              </w:rPr>
              <w:br w:type="textWrapping"/>
            </w:r>
            <w:r>
              <w:t xml:space="preserve">    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r>
              <w:rPr>
                <w:rFonts w:hint="eastAsia"/>
              </w:rPr>
              <w:br w:type="textWrapping"/>
            </w:r>
            <w:r>
              <w:t xml:space="preserve">    </w:t>
            </w:r>
            <w:r>
              <w:rPr>
                <w:b/>
                <w:bCs/>
              </w:rPr>
              <w:t>《山西省安全生产条例》第六十二条</w:t>
            </w:r>
            <w:r>
              <w:t xml:space="preserve"> 县级以上人民政府应当根据所属乡镇、街道办事处、开发区生产经营单位数量、高危行业和劳动密集型生产经营单位分布、经济总量，确定安全生产工作监督管理机构，配备安全生产专职监督管理人员。</w:t>
            </w:r>
            <w:r>
              <w:rPr>
                <w:rFonts w:hint="eastAsia"/>
              </w:rPr>
              <w:br w:type="textWrapping"/>
            </w:r>
            <w:r>
              <w:t xml:space="preserve">    负有安全生产监督管理职责的部门可以委托符合《中华人民共和国行政处罚法》规定条件的乡镇人民政府和街道办事处的安全生产监督管理机构实施行政处罚。</w:t>
            </w:r>
            <w:r>
              <w:rPr>
                <w:rFonts w:hint="eastAsia"/>
              </w:rPr>
              <w:br w:type="textWrapping"/>
            </w:r>
            <w:r>
              <w:t xml:space="preserve">    </w:t>
            </w:r>
            <w:r>
              <w:rPr>
                <w:b/>
                <w:bCs/>
              </w:rPr>
              <w:t>《山西省安全生产条例》第七十三条</w:t>
            </w:r>
            <w:r>
              <w:t xml:space="preserve"> 违反本条例规定，生产经营单位不具备安全生产条件开展生产经营活动的，由负有安全生产监督管理职责的部门责令限期改正；情节严重的，依法责令停产停业整顿;经停产停业整顿仍不具备安全生产条件的，由负有安全生产监督管理职责的部门报县级以上人民政府依法决定关闭，有关部门应当依法吊销其有关证照。</w:t>
            </w:r>
          </w:p>
        </w:tc>
        <w:tc>
          <w:tcPr>
            <w:tcW w:w="1203" w:type="dxa"/>
            <w:vMerge w:val="continue"/>
            <w:tcBorders>
              <w:top w:val="single" w:color="000000" w:sz="4" w:space="0"/>
              <w:left w:val="single" w:color="000000" w:sz="4" w:space="0"/>
              <w:bottom w:val="single" w:color="000000" w:sz="4" w:space="0"/>
              <w:right w:val="single" w:color="000000" w:sz="4" w:space="0"/>
            </w:tcBorders>
            <w:vAlign w:val="center"/>
          </w:tc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4340" w:hRule="atLeast"/>
        </w:trPr>
        <w:tc>
          <w:tcPr>
            <w:tcW w:w="568" w:type="dxa"/>
            <w:tcBorders>
              <w:top w:val="nil"/>
              <w:left w:val="single" w:color="000000" w:sz="4" w:space="0"/>
              <w:bottom w:val="single" w:color="000000" w:sz="4" w:space="0"/>
              <w:right w:val="nil"/>
            </w:tcBorders>
            <w:shd w:val="clear" w:color="auto" w:fill="auto"/>
            <w:noWrap/>
            <w:vAlign w:val="center"/>
          </w:tcPr>
          <w:p>
            <w:r>
              <w:rPr>
                <w:rFonts w:hint="eastAsia"/>
              </w:rPr>
              <w:t>11</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市应急局</w:t>
            </w:r>
            <w:r>
              <w:rPr>
                <w:rFonts w:hint="eastAsia"/>
              </w:rPr>
              <w:br w:type="textWrapping"/>
            </w:r>
            <w:r>
              <w:rPr>
                <w:rFonts w:hint="eastAsia"/>
              </w:rPr>
              <w:t>（4项）</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对生产经营单位未设置安全生产管理机构或者配备安全生产管理人员的处罚</w:t>
            </w:r>
          </w:p>
        </w:tc>
        <w:tc>
          <w:tcPr>
            <w:tcW w:w="9053" w:type="dxa"/>
            <w:tcBorders>
              <w:top w:val="single" w:color="000000" w:sz="4" w:space="0"/>
              <w:left w:val="single" w:color="000000" w:sz="4" w:space="0"/>
              <w:bottom w:val="single" w:color="000000" w:sz="4" w:space="0"/>
              <w:right w:val="nil"/>
            </w:tcBorders>
            <w:shd w:val="clear" w:color="auto" w:fill="auto"/>
            <w:vAlign w:val="center"/>
          </w:tcPr>
          <w:p>
            <w:pPr>
              <w:rPr>
                <w:rFonts w:hint="eastAsia"/>
                <w:b/>
                <w:bCs/>
              </w:rPr>
            </w:pPr>
            <w:r>
              <w:rPr>
                <w:rFonts w:hint="eastAsia"/>
                <w:b/>
                <w:bCs/>
              </w:rPr>
              <w:t xml:space="preserve">    《中华人民共和国安全生产法》第九条</w:t>
            </w:r>
            <w:r>
              <w:t xml:space="preserve"> 国务院和县级以上地方各级人民政府应当加强对安全生产工作的领导，建立健全安全生产工作协调机制，支持、督促各有关部门依法履行安全生产监督管理职责，及时协调、解决安全生产监督管理中存在的重大问题。</w:t>
            </w:r>
            <w:r>
              <w:rPr>
                <w:rFonts w:hint="eastAsia"/>
              </w:rPr>
              <w:br w:type="textWrapping"/>
            </w:r>
            <w:r>
              <w:t xml:space="preserve">    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r>
              <w:rPr>
                <w:rFonts w:hint="eastAsia"/>
              </w:rPr>
              <w:br w:type="textWrapping"/>
            </w:r>
            <w:r>
              <w:t xml:space="preserve">    </w:t>
            </w:r>
            <w:r>
              <w:rPr>
                <w:b/>
                <w:bCs/>
              </w:rPr>
              <w:t>《山西省安全生产条例》第六十二条</w:t>
            </w:r>
            <w:r>
              <w:t xml:space="preserve"> 县级以上人民政府应当根据所属乡镇、街道办事处、开发区生产经营单位数量、高危行业和劳动密集型生产经营单位分布、经济总量，确定安全生产工作监督管理机构，配备安全生产专职监督管理人员。</w:t>
            </w:r>
            <w:r>
              <w:rPr>
                <w:rFonts w:hint="eastAsia"/>
              </w:rPr>
              <w:br w:type="textWrapping"/>
            </w:r>
            <w:r>
              <w:t xml:space="preserve">    负有安全生产监督管理职责的部门可以委托符合《中华人民共和国行政处罚法》规定条件的乡镇人民政府和街道办事处的安全生产监督管理机构实施行政处罚。</w:t>
            </w:r>
            <w:r>
              <w:rPr>
                <w:rFonts w:hint="eastAsia"/>
              </w:rPr>
              <w:br w:type="textWrapping"/>
            </w:r>
            <w:r>
              <w:t xml:space="preserve">    </w:t>
            </w:r>
            <w:r>
              <w:rPr>
                <w:b/>
                <w:bCs/>
              </w:rPr>
              <w:t>《山西省安全生产条例》第七十四条</w:t>
            </w:r>
            <w:r>
              <w:t xml:space="preserve"> 违反本条例规定，生产经营单位未设置安全生产管理机构或者配备安全生产管理人员的，由负有安全生产监督管理职责的部门责令限期改正，可以处一万元以上五万元以下的罚款；逾期未改正的，责令停产停业整顿，并处五万元以上十万元以下的罚款，对其直接负责的主管人员和其他直接责任人员处一万元以上二万元以下的罚款。</w:t>
            </w:r>
          </w:p>
        </w:tc>
        <w:tc>
          <w:tcPr>
            <w:tcW w:w="1203" w:type="dxa"/>
            <w:tcBorders>
              <w:top w:val="single" w:color="000000" w:sz="4" w:space="0"/>
              <w:left w:val="single" w:color="000000" w:sz="4" w:space="0"/>
              <w:bottom w:val="single" w:color="000000" w:sz="4" w:space="0"/>
              <w:right w:val="nil"/>
            </w:tcBorders>
            <w:shd w:val="clear" w:color="auto" w:fill="auto"/>
            <w:vAlign w:val="center"/>
          </w:tcPr>
          <w:p>
            <w:pPr>
              <w:rPr>
                <w:rFonts w:hint="eastAsia"/>
              </w:rPr>
            </w:pPr>
            <w:r>
              <w:rPr>
                <w:rFonts w:hint="eastAsia"/>
              </w:rPr>
              <w:t>虞乡镇</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7480" w:hRule="atLeast"/>
        </w:trPr>
        <w:tc>
          <w:tcPr>
            <w:tcW w:w="568" w:type="dxa"/>
            <w:tcBorders>
              <w:top w:val="nil"/>
              <w:left w:val="single" w:color="000000" w:sz="4" w:space="0"/>
              <w:bottom w:val="single" w:color="000000" w:sz="4" w:space="0"/>
              <w:right w:val="nil"/>
            </w:tcBorders>
            <w:shd w:val="clear" w:color="auto" w:fill="auto"/>
            <w:noWrap/>
            <w:vAlign w:val="center"/>
          </w:tcPr>
          <w:p>
            <w:r>
              <w:rPr>
                <w:rFonts w:hint="eastAsia"/>
              </w:rPr>
              <w:t>12</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市应急局</w:t>
            </w:r>
            <w:r>
              <w:rPr>
                <w:rFonts w:hint="eastAsia"/>
              </w:rPr>
              <w:br w:type="textWrapping"/>
            </w:r>
            <w:r>
              <w:rPr>
                <w:rFonts w:hint="eastAsia"/>
              </w:rPr>
              <w:t>（4项）</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对生产经营单位未建立健全重大危险源管理制度，未采取安全措施的处罚</w:t>
            </w:r>
          </w:p>
        </w:tc>
        <w:tc>
          <w:tcPr>
            <w:tcW w:w="9053" w:type="dxa"/>
            <w:tcBorders>
              <w:top w:val="single" w:color="000000" w:sz="4" w:space="0"/>
              <w:left w:val="single" w:color="000000" w:sz="4" w:space="0"/>
              <w:bottom w:val="single" w:color="000000" w:sz="4" w:space="0"/>
              <w:right w:val="nil"/>
            </w:tcBorders>
            <w:shd w:val="clear" w:color="auto" w:fill="auto"/>
            <w:vAlign w:val="center"/>
          </w:tcPr>
          <w:p>
            <w:pPr>
              <w:rPr>
                <w:rFonts w:hint="eastAsia"/>
              </w:rPr>
            </w:pPr>
            <w:r>
              <w:rPr>
                <w:rFonts w:hint="eastAsia"/>
              </w:rPr>
              <w:t xml:space="preserve">    </w:t>
            </w:r>
            <w:r>
              <w:rPr>
                <w:b/>
                <w:bCs/>
              </w:rPr>
              <w:t>《中华人民共和国安全生产法》第九条</w:t>
            </w:r>
            <w:r>
              <w:t xml:space="preserve"> 国务院和县级以上地方各级人民政府应当加强对安全生产工作的领导，建立健全安全生产工作协调机制，支持、督促各有关部门依法履行安全生产监督管理职责，及时协调、解决安全生产监督管理中存在的重大问题。</w:t>
            </w:r>
            <w:r>
              <w:rPr>
                <w:rFonts w:hint="eastAsia"/>
              </w:rPr>
              <w:br w:type="textWrapping"/>
            </w:r>
            <w:r>
              <w:t xml:space="preserve">    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r>
              <w:rPr>
                <w:rFonts w:hint="eastAsia"/>
              </w:rPr>
              <w:br w:type="textWrapping"/>
            </w:r>
            <w:r>
              <w:t xml:space="preserve">    </w:t>
            </w:r>
            <w:r>
              <w:rPr>
                <w:b/>
                <w:bCs/>
              </w:rPr>
              <w:t>《山西省安全生产条例》第六十二条</w:t>
            </w:r>
            <w:r>
              <w:t xml:space="preserve"> 县级以上人民政府应当根据所属乡镇、街道办事处、开发区生产经营单位数量、高危行业和劳动密集型生产经营单位分布、经济总量，确定安全生产工作监督管理机构，配备安全生产专职监督管理人员。</w:t>
            </w:r>
            <w:r>
              <w:rPr>
                <w:rFonts w:hint="eastAsia"/>
              </w:rPr>
              <w:br w:type="textWrapping"/>
            </w:r>
            <w:r>
              <w:t xml:space="preserve">    负有安全生产监督管理职责的部门可以委托符合《中华人民共和国行政处罚法》规定条件的乡镇人民政府和街道办事处的安全生产监督管理机构实施行政处罚。</w:t>
            </w:r>
            <w:r>
              <w:rPr>
                <w:rFonts w:hint="eastAsia"/>
              </w:rPr>
              <w:br w:type="textWrapping"/>
            </w:r>
            <w:r>
              <w:t xml:space="preserve">    </w:t>
            </w:r>
            <w:r>
              <w:rPr>
                <w:b/>
                <w:bCs/>
              </w:rPr>
              <w:t>《山西省安全生产条例》第七十五条</w:t>
            </w:r>
            <w:r>
              <w:t xml:space="preserve"> 违反本条例规定，生产经营单位未建立健全重大危险源管理制度，未采取安全措施的，由负有安全生产监督管理职责的部门责令限期改正，可以处一万元以上十万元以下的罚款；逾期未改正的，责令停产停业整顿，并处十万元以上二十万元以下的罚款，对其直接负责的主管人员和其他直接责任人员处二万元以上五万元以下的罚款；构成犯罪的，依法追究刑事责任。</w:t>
            </w:r>
          </w:p>
        </w:tc>
        <w:tc>
          <w:tcPr>
            <w:tcW w:w="1203" w:type="dxa"/>
            <w:tcBorders>
              <w:top w:val="single" w:color="000000" w:sz="4" w:space="0"/>
              <w:left w:val="single" w:color="000000" w:sz="4" w:space="0"/>
              <w:bottom w:val="single" w:color="000000" w:sz="4" w:space="0"/>
              <w:right w:val="nil"/>
            </w:tcBorders>
            <w:shd w:val="clear" w:color="auto" w:fill="auto"/>
            <w:vAlign w:val="center"/>
          </w:tcPr>
          <w:p>
            <w:pPr>
              <w:rPr>
                <w:rFonts w:hint="eastAsia"/>
              </w:rPr>
            </w:pPr>
            <w:r>
              <w:rPr>
                <w:rFonts w:hint="eastAsia"/>
              </w:rPr>
              <w:t>虞乡镇</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r>
        <w:tblPrEx>
          <w:tblCellMar>
            <w:top w:w="0" w:type="dxa"/>
            <w:left w:w="108" w:type="dxa"/>
            <w:bottom w:w="0" w:type="dxa"/>
            <w:right w:w="108" w:type="dxa"/>
          </w:tblCellMar>
        </w:tblPrEx>
        <w:trPr>
          <w:trHeight w:val="6840" w:hRule="atLeast"/>
        </w:trPr>
        <w:tc>
          <w:tcPr>
            <w:tcW w:w="568" w:type="dxa"/>
            <w:tcBorders>
              <w:top w:val="nil"/>
              <w:left w:val="single" w:color="000000" w:sz="4" w:space="0"/>
              <w:bottom w:val="single" w:color="000000" w:sz="4" w:space="0"/>
              <w:right w:val="nil"/>
            </w:tcBorders>
            <w:shd w:val="clear" w:color="auto" w:fill="auto"/>
            <w:noWrap/>
            <w:vAlign w:val="center"/>
          </w:tcPr>
          <w:p>
            <w:r>
              <w:rPr>
                <w:rFonts w:hint="eastAsia"/>
              </w:rPr>
              <w:t>13</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市应急局</w:t>
            </w:r>
            <w:r>
              <w:rPr>
                <w:rFonts w:hint="eastAsia"/>
              </w:rPr>
              <w:br w:type="textWrapping"/>
            </w:r>
            <w:r>
              <w:rPr>
                <w:rFonts w:hint="eastAsia"/>
              </w:rPr>
              <w:t>（4项）</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对生产经营单位未及时排查治理事故隐患并如实记录排查、治理、评估、验收等内容的处罚</w:t>
            </w:r>
          </w:p>
        </w:tc>
        <w:tc>
          <w:tcPr>
            <w:tcW w:w="90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 xml:space="preserve">    </w:t>
            </w:r>
            <w:r>
              <w:rPr>
                <w:b/>
                <w:bCs/>
              </w:rPr>
              <w:t>《中华人民共和国安全生产法》第九条</w:t>
            </w:r>
            <w:r>
              <w:t xml:space="preserve"> 国务院和县级以上地方各级人民政府应当加强对安全生产工作的领导，建立健全安全生产工作协调机制，支持、督促各有关部门依法履行安全生产监督管理职责，及时协调、解决安全生产监督管理中存在的重大问题。</w:t>
            </w:r>
            <w:r>
              <w:rPr>
                <w:rFonts w:hint="eastAsia"/>
              </w:rPr>
              <w:br w:type="textWrapping"/>
            </w:r>
            <w:r>
              <w:t xml:space="preserve">    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r>
              <w:rPr>
                <w:rFonts w:hint="eastAsia"/>
              </w:rPr>
              <w:br w:type="textWrapping"/>
            </w:r>
            <w:r>
              <w:t xml:space="preserve">    </w:t>
            </w:r>
            <w:r>
              <w:rPr>
                <w:b/>
                <w:bCs/>
              </w:rPr>
              <w:t>《山西省安全生产条例》第六十二条</w:t>
            </w:r>
            <w:r>
              <w:t xml:space="preserve"> 县级以上人民政府应当根据所属乡镇、街道办事处、开发区生产经营单位数量、高危行业和劳动密集型生产经营单位分布、经济总量，确定安全生产工作监督管理机构，配备安全生产专职监督管理人员。</w:t>
            </w:r>
            <w:r>
              <w:rPr>
                <w:rFonts w:hint="eastAsia"/>
              </w:rPr>
              <w:br w:type="textWrapping"/>
            </w:r>
            <w:r>
              <w:t xml:space="preserve">    负有安全生产监督管理职责的部门可以委托符合《中华人民共和国行政处罚法》规定条件的乡镇人民政府和街道办事处的安全生产监督管理机构实施行政处罚。</w:t>
            </w:r>
            <w:r>
              <w:rPr>
                <w:rFonts w:hint="eastAsia"/>
              </w:rPr>
              <w:br w:type="textWrapping"/>
            </w:r>
            <w:r>
              <w:t xml:space="preserve">    </w:t>
            </w:r>
            <w:r>
              <w:rPr>
                <w:b/>
                <w:bCs/>
              </w:rPr>
              <w:t>《山西省安全生产条例》第七十六条</w:t>
            </w:r>
            <w:r>
              <w:t xml:space="preserve"> 违反本条例规定，生产经营单位未及时排查治理事故隐患并如实记录排查、治理、评估、验收等内容的，由负有安全生产监督管理职责的部门责令限期改正，可以处一万元以上五万元以下的罚款；逾期未改正的，责令停产停业整顿，并处五万元以上十万元以下的罚款，对其直接负责的主管人员和其他直接责任人员处一万元以上二万元以下的罚款。</w:t>
            </w:r>
          </w:p>
        </w:tc>
        <w:tc>
          <w:tcPr>
            <w:tcW w:w="1203" w:type="dxa"/>
            <w:tcBorders>
              <w:top w:val="single" w:color="000000" w:sz="4" w:space="0"/>
              <w:left w:val="single" w:color="000000" w:sz="4" w:space="0"/>
              <w:bottom w:val="single" w:color="000000" w:sz="4" w:space="0"/>
              <w:right w:val="nil"/>
            </w:tcBorders>
            <w:shd w:val="clear" w:color="auto" w:fill="auto"/>
            <w:vAlign w:val="center"/>
          </w:tcPr>
          <w:p>
            <w:pPr>
              <w:rPr>
                <w:rFonts w:hint="eastAsia"/>
              </w:rPr>
            </w:pPr>
            <w:r>
              <w:rPr>
                <w:rFonts w:hint="eastAsia"/>
              </w:rPr>
              <w:t>虞乡镇</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3NWI1ZTAzNDFhOWNkNGE0Y2U1OGNmYWU0M2JjOWUifQ=="/>
  </w:docVars>
  <w:rsids>
    <w:rsidRoot w:val="00000000"/>
    <w:rsid w:val="4D083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0"/>
    <w:pPr>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2022-12-15T04:39:56Z</dcterms:created>
  <dc:creator>Lenovo</dc:creator>
  <cp:lastModifiedBy>A爱哭鬼</cp:lastModifiedBy>
  <dcterms:modified xsi:type="dcterms:W3CDTF">2022-12-15T04:40:36Z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C5D932ACED2E4203B4479D2F97EA8F06</vt:lpwstr>
  </property>
</Properties>
</file>