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6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346"/>
        <w:gridCol w:w="2346"/>
        <w:gridCol w:w="2936"/>
        <w:gridCol w:w="2048"/>
        <w:gridCol w:w="2042"/>
        <w:gridCol w:w="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820" w:hRule="atLeast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永济市能源局行政处罚事项“双公示”目录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行政决定部门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行政职权类别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设定依据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行政相对人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永济市能源局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对建设单位开工建设的固定资产投资项目未经节能评估和审查、不符合强制性节能标准的处罚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[部门规章]《固定资产投资项目节能审查办法》（国家发改委令44号）第十三条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项目建设单位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ZTMzMWM1ZWVmOGFiOWYzYmI4NTY0NGU4N2QxY2MifQ=="/>
  </w:docVars>
  <w:rsids>
    <w:rsidRoot w:val="00000000"/>
    <w:rsid w:val="1EC85B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2022-12-13T02:25:28Z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A03312CC3D16460A8BCBA1AD2007A30E</vt:lpwstr>
  </property>
</Properties>
</file>