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6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2346"/>
        <w:gridCol w:w="2346"/>
        <w:gridCol w:w="2936"/>
        <w:gridCol w:w="2048"/>
        <w:gridCol w:w="2042"/>
        <w:gridCol w:w="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820" w:hRule="atLeast"/>
        </w:trPr>
        <w:tc>
          <w:tcPr>
            <w:tcW w:w="13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永济市能源局行政处罚事项“双公示”目录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行政决定部门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行政职权类别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设定依据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行政相对人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永济市能源局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对建设单位开工建设的固定资产投资项目未经节能评估和审查、不符合强制性节能标准的处罚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[部门规章]《固定资产投资项目节能审查办法》（国家发改委令44号）第十三条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项目建设单位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ZTMzMWM1ZWVmOGFiOWYzYmI4NTY0NGU4N2QxY2MifQ=="/>
  </w:docVars>
  <w:rsids>
    <w:rsidRoot w:val="00000000"/>
    <w:rsid w:val="1EC85B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2022-12-13T02:25:28Z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A03312CC3D16460A8BCBA1AD2007A30E</vt:lpwstr>
  </property>
</Properties>
</file>