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val="en-US" w:eastAsia="zh-CN"/>
        </w:rPr>
        <w:t>永济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  <w:t>市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eastAsia="zh-CN"/>
        </w:rPr>
        <w:t>司法局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eastAsia="zh-CN"/>
        </w:rPr>
        <w:t>司法大调解工作经费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  <w:t>项目支出绩效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方正小标宋简体" w:hAnsi="黑体" w:eastAsia="方正小标宋简体" w:cs="FZXiaoBiaoSong-B05S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  <w:t>自评报告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_GB2312" w:hAnsi="黑体" w:eastAsia="仿宋_GB2312" w:cs="黑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一、项目概况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jc w:val="left"/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（一）项目单位基本情况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永济市司法局负责全市的矛盾纠纷排查、化解工作，做好全市人民调解员的日常管理、培训等工作。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（二）项目概况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年初设定的项目支出绩效目标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长期目标：案件调解成功率达98%以上，有效维护社会和谐稳定。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年度目标：（1）案件调解成功率达98%以上，有效维护社会和谐稳定。（2）人民调解员培训达300人次。培训合格率达100%。（3）专职人民调解员生活补助人数24人（4）全年调解案件1000余件。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主要绩效指标及指标值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产出指标：2021年专职人民调解生活补助人数27人，人民调解员培训人次300余人次。全年调解案件数量1000余件，培训合格率100%。调解案件补助标准：口头案件20元/件，一般案件50元/件，疑难案件100元/件，重大案件300元/件。专职人民调解员生活补助标准：1000元/人/月，内勤人员补助1000元/人/月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效益指标：维护社会和谐稳定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0"/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满意度指标：调解案件双方当事人满意度达98%。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left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资金使用范围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永济市财政每年列支45万元大调解工人经费，由市司法局统筹管理使用，主要用于市人民调解委员会工作经费、全市专职调解员生活补助和调解案件补助、内勤人员补助、人民调解工作培训、工作奖励。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二、项目决策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（一）决策过程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决策依据：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 xml:space="preserve">运办发[2014]35号《关于推进矛盾纠纷大调解工作的实施意见》                   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 xml:space="preserve">永综治委[2014]3号《关于印发〈永济市人民调解委员会规范化建设实施意见〉的通知》                 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根据《推进矛盾纠纷大调解工作实施细则》第二十七条规定的经费保障标准，县（市、区）矛盾纠纷调解经费按辖区常住人口每人每年1元予以保障，按照我市45万人口计算，大调解工作经费45万元需列入本年度财政预算。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 xml:space="preserve">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决策程序：</w:t>
      </w:r>
      <w:r>
        <w:rPr>
          <w:rFonts w:hint="eastAsia" w:ascii="仿宋_GB2312" w:hAnsi="仿宋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司法大调解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项目符合申报条件；申报、批复程序符合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永司字[2014]40号文件，永济市专职人民调解员管理办法（试行）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永司字[2014]41号文件，永济市人民调解员“以案定补”工作实施方案。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（二）资金分配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分配办法：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调解案件补助标准：口头案件20元/件，一般案件50元/件，疑难案件100元/件，重大案件300元/件。专职人民调解员生活补助标准：1000元/人/月，内勤人员补助1000元/人/月。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分配结果：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2021年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劳务费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415093元，培训费28000元，办公费1507元，印刷费5000元，邮电费400元。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三、项目管理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（一）资金到位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年度预算资金到位率：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100%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资金到位时效：</w:t>
      </w:r>
      <w:r>
        <w:rPr>
          <w:rFonts w:hint="eastAsia" w:ascii="仿宋_GB2312" w:hAnsi="仿宋" w:eastAsia="仿宋_GB2312"/>
          <w:sz w:val="32"/>
          <w:szCs w:val="32"/>
        </w:rPr>
        <w:t>资金及时到位。</w:t>
      </w:r>
    </w:p>
    <w:p>
      <w:pPr>
        <w:spacing w:line="52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（二）资金管理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1、资金使用：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合理使用项目资金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</w:t>
      </w:r>
      <w:r>
        <w:rPr>
          <w:rFonts w:hint="eastAsia" w:ascii="仿宋_GB2312" w:hAnsi="仿宋" w:eastAsia="仿宋_GB2312"/>
          <w:sz w:val="32"/>
          <w:szCs w:val="32"/>
        </w:rPr>
        <w:t>存在支出依据不合规、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没有</w:t>
      </w:r>
      <w:r>
        <w:rPr>
          <w:rFonts w:hint="eastAsia" w:ascii="仿宋_GB2312" w:hAnsi="仿宋" w:eastAsia="仿宋_GB2312"/>
          <w:sz w:val="32"/>
          <w:szCs w:val="32"/>
        </w:rPr>
        <w:t>虚列项目支出的情况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；不</w:t>
      </w:r>
      <w:r>
        <w:rPr>
          <w:rFonts w:hint="eastAsia" w:ascii="仿宋_GB2312" w:hAnsi="仿宋" w:eastAsia="仿宋_GB2312"/>
          <w:sz w:val="32"/>
          <w:szCs w:val="32"/>
        </w:rPr>
        <w:t>存在截留、挤占、挪用项目资金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超标准开支的情况。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2、财务管理：严格按照财务管理制度执行，做到专款专用，不截留、不挤占挪用。</w:t>
      </w:r>
    </w:p>
    <w:p>
      <w:pPr>
        <w:spacing w:line="52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（三）组织实施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sz w:val="32"/>
          <w:szCs w:val="32"/>
        </w:rPr>
        <w:t>项目完成程度：</w:t>
      </w:r>
      <w:r>
        <w:rPr>
          <w:rFonts w:hint="eastAsia" w:ascii="仿宋_GB2312" w:hAnsi="仿宋" w:eastAsia="仿宋_GB2312"/>
          <w:sz w:val="32"/>
          <w:szCs w:val="32"/>
        </w:rPr>
        <w:t>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已经</w:t>
      </w:r>
      <w:r>
        <w:rPr>
          <w:rFonts w:hint="eastAsia" w:ascii="仿宋_GB2312" w:hAnsi="仿宋" w:eastAsia="仿宋_GB2312"/>
          <w:sz w:val="32"/>
          <w:szCs w:val="32"/>
        </w:rPr>
        <w:t>按照计划完成。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组织机构：</w:t>
      </w:r>
      <w:r>
        <w:rPr>
          <w:rFonts w:hint="eastAsia" w:ascii="仿宋_GB2312" w:hAnsi="仿宋" w:eastAsia="仿宋_GB2312"/>
          <w:sz w:val="32"/>
          <w:szCs w:val="32"/>
        </w:rPr>
        <w:t>机构是否健全、分工是否明确。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>管理制度：</w:t>
      </w:r>
      <w:r>
        <w:rPr>
          <w:rFonts w:hint="eastAsia" w:ascii="仿宋_GB2312" w:hAnsi="仿宋" w:eastAsia="仿宋_GB2312"/>
          <w:sz w:val="32"/>
          <w:szCs w:val="32"/>
        </w:rPr>
        <w:t>是否建立健全项目管理制度，是否严格执行相关项目管理制度。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四、项目绩效</w:t>
      </w:r>
    </w:p>
    <w:p>
      <w:pPr>
        <w:spacing w:line="52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（一）项目产出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ascii="仿宋_GB2312" w:hAnsi="仿宋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sz w:val="32"/>
          <w:szCs w:val="32"/>
        </w:rPr>
        <w:t>产出数量：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专职人民调解员生活补助人数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27人。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产出质量：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专职人员调解员培训合格率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ascii="仿宋_GB2312" w:hAnsi="仿宋" w:eastAsia="仿宋_GB2312"/>
          <w:b/>
          <w:sz w:val="32"/>
          <w:szCs w:val="32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>产出时效：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按计划完成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4.</w:t>
      </w:r>
      <w:r>
        <w:rPr>
          <w:rFonts w:hint="eastAsia" w:ascii="仿宋_GB2312" w:hAnsi="仿宋" w:eastAsia="仿宋_GB2312"/>
          <w:b/>
          <w:sz w:val="32"/>
          <w:szCs w:val="32"/>
        </w:rPr>
        <w:t>产出成本：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2021年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劳务费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415093元，培训费28000元，办公费1507元，印刷费5000元，邮电费400元。</w:t>
      </w:r>
    </w:p>
    <w:p>
      <w:pPr>
        <w:spacing w:line="52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（二）项目效益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</w:t>
      </w:r>
      <w:r>
        <w:rPr>
          <w:rFonts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sz w:val="32"/>
          <w:szCs w:val="32"/>
        </w:rPr>
        <w:t>社会效益：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有效地维护社会和谐稳定。</w:t>
      </w:r>
    </w:p>
    <w:p>
      <w:pPr>
        <w:spacing w:line="520" w:lineRule="exact"/>
        <w:ind w:firstLine="643" w:firstLineChars="200"/>
        <w:rPr>
          <w:rFonts w:hint="default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sz w:val="32"/>
          <w:szCs w:val="32"/>
        </w:rPr>
        <w:t>服务对象满意度：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调解案件双方当事人满意度达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98%。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五、存在的问题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在项目支出过程中，个别申请支出计划科目与实际支出科目存在差异，年终需要调整支出科目。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措施及建议</w:t>
      </w:r>
    </w:p>
    <w:p>
      <w:pPr>
        <w:numPr>
          <w:ilvl w:val="0"/>
          <w:numId w:val="0"/>
        </w:numPr>
        <w:spacing w:line="52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建议在年初预算时，将司法大调解工作经费正常列入年初部门预算。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ZXiaoBiaoSong-B05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7FAAD6"/>
    <w:multiLevelType w:val="singleLevel"/>
    <w:tmpl w:val="277FAAD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ZmY2YmNhZDExZTA5NjI0MTUzOTAyNjA3Yjc2YTcifQ=="/>
  </w:docVars>
  <w:rsids>
    <w:rsidRoot w:val="3F416A6D"/>
    <w:rsid w:val="3F416A6D"/>
    <w:rsid w:val="7AB05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1359</Words>
  <Characters>1507</Characters>
  <Lines>0</Lines>
  <Paragraphs>0</Paragraphs>
  <TotalTime>2</TotalTime>
  <ScaleCrop>false</ScaleCrop>
  <LinksUpToDate>false</LinksUpToDate>
  <CharactersWithSpaces>1685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2022-09-28T07:29:00Z</dcterms:created>
  <dc:creator>lenovo</dc:creator>
  <cp:lastModifiedBy>lenovo</cp:lastModifiedBy>
  <dcterms:modified xsi:type="dcterms:W3CDTF">2022-09-28T07:44:07Z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4F8FC32B614247D5B7D3F9ADFEFEDAD7</vt:lpwstr>
  </property>
</Properties>
</file>