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8BA" w:rsidRDefault="00775C2D">
      <w:pPr>
        <w:widowControl/>
        <w:snapToGrid w:val="0"/>
        <w:spacing w:line="600" w:lineRule="exact"/>
        <w:rPr>
          <w:rFonts w:hAnsi="仿宋_GB2312" w:cs="仿宋_GB2312"/>
          <w:color w:val="000000"/>
          <w:kern w:val="0"/>
          <w:sz w:val="28"/>
          <w:szCs w:val="28"/>
        </w:rPr>
      </w:pPr>
      <w:r>
        <w:rPr>
          <w:rFonts w:hAnsi="仿宋_GB2312" w:cs="仿宋_GB2312" w:hint="eastAsia"/>
          <w:color w:val="000000"/>
          <w:kern w:val="0"/>
          <w:sz w:val="28"/>
          <w:szCs w:val="28"/>
        </w:rPr>
        <w:t>附件1</w:t>
      </w:r>
    </w:p>
    <w:p w:rsidR="003F78BA" w:rsidRDefault="00775C2D" w:rsidP="009635E3">
      <w:pPr>
        <w:widowControl/>
        <w:snapToGrid w:val="0"/>
        <w:spacing w:afterLines="100" w:line="600" w:lineRule="exact"/>
        <w:jc w:val="center"/>
        <w:rPr>
          <w:rFonts w:ascii="宋体" w:eastAsia="宋体" w:hAnsi="宋体" w:cs="仿宋_GB2312"/>
          <w:b/>
          <w:color w:val="000000"/>
          <w:kern w:val="0"/>
        </w:rPr>
      </w:pP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永济</w:t>
      </w:r>
      <w:r>
        <w:rPr>
          <w:rFonts w:ascii="宋体" w:eastAsia="宋体" w:hAnsi="宋体" w:cs="仿宋_GB2312" w:hint="eastAsia"/>
          <w:b/>
          <w:color w:val="000000"/>
          <w:kern w:val="0"/>
        </w:rPr>
        <w:t>（市、区）用户水龙头水质安全状况信息公开表（</w:t>
      </w:r>
      <w:r>
        <w:rPr>
          <w:rFonts w:ascii="宋体" w:eastAsia="宋体" w:hAnsi="宋体" w:cs="仿宋_GB2312" w:hint="eastAsia"/>
          <w:b/>
          <w:color w:val="000000"/>
          <w:kern w:val="0"/>
          <w:u w:val="single"/>
        </w:rPr>
        <w:t>20</w:t>
      </w:r>
      <w:r w:rsidR="009635E3">
        <w:rPr>
          <w:rFonts w:ascii="宋体" w:eastAsia="宋体" w:hAnsi="宋体" w:cs="仿宋_GB2312" w:hint="eastAsia"/>
          <w:b/>
          <w:color w:val="000000"/>
          <w:kern w:val="0"/>
          <w:u w:val="single"/>
        </w:rPr>
        <w:t>22</w:t>
      </w:r>
      <w:r>
        <w:rPr>
          <w:rFonts w:ascii="宋体" w:eastAsia="宋体" w:hAnsi="宋体" w:cs="仿宋_GB2312" w:hint="eastAsia"/>
          <w:b/>
          <w:color w:val="000000"/>
          <w:kern w:val="0"/>
        </w:rPr>
        <w:t>年第</w:t>
      </w:r>
      <w:r w:rsidR="009635E3">
        <w:rPr>
          <w:rFonts w:ascii="宋体" w:eastAsia="宋体" w:hAnsi="宋体" w:cs="仿宋_GB2312" w:hint="eastAsia"/>
          <w:b/>
          <w:color w:val="000000"/>
          <w:kern w:val="0"/>
          <w:u w:val="single"/>
        </w:rPr>
        <w:t xml:space="preserve"> </w:t>
      </w:r>
      <w:proofErr w:type="gramStart"/>
      <w:r w:rsidR="009635E3">
        <w:rPr>
          <w:rFonts w:ascii="宋体" w:eastAsia="宋体" w:hAnsi="宋体" w:cs="仿宋_GB2312" w:hint="eastAsia"/>
          <w:b/>
          <w:color w:val="000000"/>
          <w:kern w:val="0"/>
          <w:u w:val="single"/>
        </w:rPr>
        <w:t>一</w:t>
      </w:r>
      <w:proofErr w:type="gramEnd"/>
      <w:r w:rsidR="009635E3">
        <w:rPr>
          <w:rFonts w:ascii="宋体" w:eastAsia="宋体" w:hAnsi="宋体" w:cs="仿宋_GB2312" w:hint="eastAsia"/>
          <w:b/>
          <w:color w:val="000000"/>
          <w:kern w:val="0"/>
          <w:u w:val="single"/>
        </w:rPr>
        <w:t xml:space="preserve">  </w:t>
      </w:r>
      <w:r>
        <w:rPr>
          <w:rFonts w:ascii="宋体" w:eastAsia="宋体" w:hAnsi="宋体" w:cs="仿宋_GB2312" w:hint="eastAsia"/>
          <w:b/>
          <w:color w:val="000000"/>
          <w:kern w:val="0"/>
        </w:rPr>
        <w:t>季度）</w:t>
      </w: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466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监测指标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标准值</w:t>
            </w:r>
            <w:r>
              <w:rPr>
                <w:rFonts w:ascii="宋体" w:eastAsia="宋体" w:hAnsi="宋体" w:cs="仿宋_GB2312" w:hint="eastAsia"/>
                <w:color w:val="000000"/>
                <w:kern w:val="0"/>
                <w:sz w:val="21"/>
                <w:szCs w:val="21"/>
              </w:rPr>
              <w:t>（GB 5749-2006）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超标情况说明（示例）</w:t>
            </w:r>
          </w:p>
        </w:tc>
      </w:tr>
      <w:tr w:rsidR="003F78BA">
        <w:trPr>
          <w:trHeight w:val="491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菌落总数CFU/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mL</w:t>
            </w:r>
            <w:proofErr w:type="spell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100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说明水体已被污染，但不能说明污染来源，也不能说明该水体传播传染病的风险程度。必须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结合总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大肠菌群来判断水污染的来源和安全程度。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总大肠菌群MPN/100mL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只是肠道传染病菌存在的可能性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耐热大肠菌群MPN/100mL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饮用水已被粪便污染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大肠埃希氏菌MPN/100mL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不得检出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饮用水已被粪便污染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色度(（铂钴色度单位）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受到工业废水等污染或者水处理不当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浑浊度NTU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1（水源与净水条件限制为3）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水处理不当或配送是发生二次污染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臭和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味</w:t>
            </w:r>
            <w:proofErr w:type="gramEnd"/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无异臭、异味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受到某种形式的污染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肉眼可见物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水处理不充分或配送时发生二次污染</w:t>
            </w:r>
          </w:p>
        </w:tc>
      </w:tr>
    </w:tbl>
    <w:p w:rsidR="003F78BA" w:rsidRDefault="00775C2D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lastRenderedPageBreak/>
        <w:t>附件1</w:t>
      </w:r>
    </w:p>
    <w:p w:rsidR="003F78BA" w:rsidRDefault="003F78BA">
      <w:pPr>
        <w:widowControl/>
        <w:snapToGrid w:val="0"/>
        <w:spacing w:line="600" w:lineRule="exact"/>
        <w:rPr>
          <w:rFonts w:ascii="宋体" w:eastAsia="宋体" w:hAnsi="宋体" w:cs="仿宋_GB2312"/>
          <w:color w:val="000000"/>
          <w:kern w:val="0"/>
          <w:sz w:val="21"/>
          <w:szCs w:val="21"/>
        </w:rPr>
      </w:pPr>
    </w:p>
    <w:tbl>
      <w:tblPr>
        <w:tblW w:w="13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6"/>
        <w:gridCol w:w="3824"/>
        <w:gridCol w:w="4532"/>
        <w:gridCol w:w="4336"/>
      </w:tblGrid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耗氧量（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CODMn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</w:rPr>
              <w:t>法，以O</w:t>
            </w:r>
            <w:r>
              <w:rPr>
                <w:rFonts w:ascii="宋体" w:eastAsia="宋体" w:hAnsi="宋体" w:hint="eastAsia"/>
                <w:sz w:val="21"/>
                <w:szCs w:val="21"/>
                <w:vertAlign w:val="subscript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3（水源限制，原水耗氧量&gt;6mg/L时为5）</w:t>
            </w:r>
          </w:p>
          <w:p w:rsidR="003F78BA" w:rsidRDefault="003F78B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有机污染物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氨氮（以N计）mg/L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可能受细菌、污水和动物排泄物等污染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砷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镉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铬（六价）mg/L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铅mg/L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配送管道污染或者工业污染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汞mg/L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0.001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16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硝酸盐（以N计）mg/L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10（地下水源限制时为20）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工农业废水污染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17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铝mg/L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工业废水污染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二氧化氯mg/L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0.02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  <w:tr w:rsidR="003F78BA">
        <w:trPr>
          <w:trHeight w:val="224"/>
        </w:trPr>
        <w:tc>
          <w:tcPr>
            <w:tcW w:w="816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</w:t>
            </w:r>
          </w:p>
        </w:tc>
        <w:tc>
          <w:tcPr>
            <w:tcW w:w="3824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游离余氯mg/L</w:t>
            </w:r>
          </w:p>
        </w:tc>
        <w:tc>
          <w:tcPr>
            <w:tcW w:w="4532" w:type="dxa"/>
            <w:tcBorders>
              <w:righ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≥</w:t>
            </w:r>
            <w:r>
              <w:rPr>
                <w:rFonts w:asciiTheme="minorEastAsia" w:hAnsiTheme="minorEastAsia" w:cs="仿宋_GB2312" w:hint="eastAsia"/>
                <w:sz w:val="21"/>
                <w:szCs w:val="21"/>
              </w:rPr>
              <w:t>0.05</w:t>
            </w:r>
          </w:p>
        </w:tc>
        <w:tc>
          <w:tcPr>
            <w:tcW w:w="4336" w:type="dxa"/>
            <w:tcBorders>
              <w:left w:val="single" w:sz="4" w:space="0" w:color="auto"/>
            </w:tcBorders>
            <w:vAlign w:val="center"/>
          </w:tcPr>
          <w:p w:rsidR="003F78BA" w:rsidRDefault="00775C2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保证水质消毒效果</w:t>
            </w:r>
          </w:p>
        </w:tc>
      </w:tr>
    </w:tbl>
    <w:p w:rsidR="003F78BA" w:rsidRDefault="00775C2D">
      <w:r>
        <w:rPr>
          <w:rFonts w:ascii="宋体" w:eastAsia="宋体" w:hAnsi="宋体" w:cs="仿宋_GB2312" w:hint="eastAsia"/>
          <w:color w:val="000000"/>
          <w:kern w:val="0"/>
          <w:sz w:val="21"/>
          <w:szCs w:val="21"/>
        </w:rPr>
        <w:t>注：水质指标的检验和结果评价按照《生活饮用水标准检验方法》（GB/5750-2006）、《生活饮用水卫生标准》（GB 5749-2006）执行。</w:t>
      </w:r>
      <w:bookmarkStart w:id="0" w:name="_GoBack"/>
      <w:bookmarkEnd w:id="0"/>
    </w:p>
    <w:sectPr w:rsidR="003F78BA" w:rsidSect="003F78BA">
      <w:pgSz w:w="16838" w:h="11906" w:orient="landscape"/>
      <w:pgMar w:top="1474" w:right="1985" w:bottom="1588" w:left="2098" w:header="851" w:footer="1418" w:gutter="0"/>
      <w:cols w:space="720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98D" w:rsidRDefault="00AB098D" w:rsidP="007A780E">
      <w:r>
        <w:separator/>
      </w:r>
    </w:p>
  </w:endnote>
  <w:endnote w:type="continuationSeparator" w:id="0">
    <w:p w:rsidR="00AB098D" w:rsidRDefault="00AB098D" w:rsidP="007A7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98D" w:rsidRDefault="00AB098D" w:rsidP="007A780E">
      <w:r>
        <w:separator/>
      </w:r>
    </w:p>
  </w:footnote>
  <w:footnote w:type="continuationSeparator" w:id="0">
    <w:p w:rsidR="00AB098D" w:rsidRDefault="00AB098D" w:rsidP="007A7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920"/>
    <w:rsid w:val="000139B4"/>
    <w:rsid w:val="00094092"/>
    <w:rsid w:val="00172B2C"/>
    <w:rsid w:val="002E5A0B"/>
    <w:rsid w:val="003B62E7"/>
    <w:rsid w:val="003F78BA"/>
    <w:rsid w:val="004D1992"/>
    <w:rsid w:val="00543B57"/>
    <w:rsid w:val="005641B1"/>
    <w:rsid w:val="005F7B35"/>
    <w:rsid w:val="006A1920"/>
    <w:rsid w:val="006F6A7E"/>
    <w:rsid w:val="00707286"/>
    <w:rsid w:val="00775C2D"/>
    <w:rsid w:val="007A780E"/>
    <w:rsid w:val="00895676"/>
    <w:rsid w:val="008D58D9"/>
    <w:rsid w:val="009635E3"/>
    <w:rsid w:val="00970EDC"/>
    <w:rsid w:val="009A20E1"/>
    <w:rsid w:val="00A537BF"/>
    <w:rsid w:val="00A61C19"/>
    <w:rsid w:val="00AB098D"/>
    <w:rsid w:val="00AB0D38"/>
    <w:rsid w:val="00B21E07"/>
    <w:rsid w:val="00B74F67"/>
    <w:rsid w:val="00C84140"/>
    <w:rsid w:val="00CA115C"/>
    <w:rsid w:val="00CF3E61"/>
    <w:rsid w:val="00D6477B"/>
    <w:rsid w:val="00D80BCD"/>
    <w:rsid w:val="00D81FEE"/>
    <w:rsid w:val="00E85FEC"/>
    <w:rsid w:val="00EE35E5"/>
    <w:rsid w:val="28496165"/>
    <w:rsid w:val="3E5235E7"/>
    <w:rsid w:val="43372BAC"/>
    <w:rsid w:val="5DD15197"/>
    <w:rsid w:val="695725D8"/>
    <w:rsid w:val="7EDA4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8BA"/>
    <w:pPr>
      <w:widowControl w:val="0"/>
      <w:jc w:val="both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F78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F7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F78B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F78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1F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1FEE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2022-04-09T08:06:00Z</cp:lastPrinted>
  <dcterms:created xsi:type="dcterms:W3CDTF">2022-04-09T08:07:00Z</dcterms:created>
  <dcterms:modified xsi:type="dcterms:W3CDTF">2022-04-09T08:07:00Z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