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bookmarkStart w:id="0" w:name="_Toc4220"/>
      <w:bookmarkStart w:id="1" w:name="_Toc24013"/>
      <w:r>
        <w:rPr>
          <w:rFonts w:hint="eastAsia"/>
        </w:rPr>
        <w:t>对在残疾人就业工作中作出显著成绩的单位和个人给予表彰和奖励</w:t>
      </w:r>
      <w:r>
        <w:rPr>
          <w:rFonts w:hint="eastAsia"/>
          <w:lang w:eastAsia="zh-CN"/>
        </w:rPr>
        <w:t>廉政</w:t>
      </w:r>
      <w:r>
        <w:rPr>
          <w:rFonts w:hint="eastAsia"/>
        </w:rPr>
        <w:t>风险点</w:t>
      </w:r>
      <w:r>
        <w:rPr>
          <w:rFonts w:hint="eastAsia"/>
          <w:lang w:eastAsia="zh-CN"/>
        </w:rPr>
        <w:t>、表现形式及防控措施</w:t>
      </w:r>
      <w:bookmarkEnd w:id="0"/>
      <w:bookmarkEnd w:id="1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400"/>
        <w:gridCol w:w="699"/>
        <w:gridCol w:w="3774"/>
        <w:gridCol w:w="5809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eastAsia="zh-CN"/>
              </w:rPr>
              <w:t>序号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eastAsia="zh-CN"/>
              </w:rPr>
              <w:t>环节名称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eastAsia="zh-CN"/>
              </w:rPr>
              <w:t>风险等级</w:t>
            </w:r>
          </w:p>
        </w:tc>
        <w:tc>
          <w:tcPr>
            <w:tcW w:w="3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eastAsia="zh-CN"/>
              </w:rPr>
              <w:t>表现形式</w:t>
            </w:r>
          </w:p>
        </w:tc>
        <w:tc>
          <w:tcPr>
            <w:tcW w:w="5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风险防范措施</w:t>
            </w:r>
          </w:p>
        </w:tc>
        <w:tc>
          <w:tcPr>
            <w:tcW w:w="8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3" w:hRule="atLeast"/>
        </w:trPr>
        <w:tc>
          <w:tcPr>
            <w:tcW w:w="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①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提请人民政府或政府有关部门对申报材料进行全面审查、批准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</w:t>
            </w:r>
          </w:p>
        </w:tc>
        <w:tc>
          <w:tcPr>
            <w:tcW w:w="3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资格审查不严，有意为特定关系人放宽条件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eastAsia="zh-CN"/>
              </w:rPr>
              <w:t>因打招呼说情等，违规做出与评审结果相悖的决定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eastAsia="zh-CN"/>
              </w:rPr>
              <w:t>对公示期间，举报反映的问题，不认真调查取证，不如实汇报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jc w:val="both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4.因徇私舞弊，多拨、少拨、错拨或延迟拨付奖金。</w:t>
            </w:r>
          </w:p>
        </w:tc>
        <w:tc>
          <w:tcPr>
            <w:tcW w:w="5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对符合条件的推荐对象进行审核，并报提请市残联研究审定，并进行公示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  <w:lang w:eastAsia="zh-CN"/>
              </w:rPr>
              <w:t>按照程序报请市政府研究决定，以市政府名义表彰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893" w:type="dxa"/>
            <w:tcBorders>
              <w:tl2br w:val="nil"/>
              <w:tr2bl w:val="nil"/>
            </w:tcBorders>
            <w:noWrap w:val="0"/>
            <w:vAlign w:val="top"/>
          </w:tcPr>
          <w:p/>
        </w:tc>
      </w:tr>
    </w:tbl>
    <w:p/>
    <w:p/>
    <w:p/>
    <w:p/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994"/>
        <w:gridCol w:w="2595"/>
        <w:gridCol w:w="1245"/>
        <w:gridCol w:w="3904"/>
        <w:gridCol w:w="4556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32" w:hRule="atLeast"/>
        </w:trPr>
        <w:tc>
          <w:tcPr>
            <w:tcW w:w="14747" w:type="dxa"/>
            <w:gridSpan w:val="6"/>
            <w:noWrap w:val="0"/>
            <w:vAlign w:val="center"/>
          </w:tcPr>
          <w:p>
            <w:pPr>
              <w:pStyle w:val="2"/>
              <w:jc w:val="center"/>
            </w:pPr>
            <w:bookmarkStart w:id="6" w:name="_GoBack"/>
            <w:bookmarkEnd w:id="6"/>
            <w:bookmarkStart w:id="2" w:name="_Toc10360"/>
            <w:bookmarkStart w:id="3" w:name="_Toc11445"/>
            <w:r>
              <w:rPr>
                <w:rFonts w:hint="eastAsia"/>
                <w:lang w:val="en-US" w:eastAsia="zh-CN"/>
              </w:rPr>
              <w:t xml:space="preserve">   残疾人证办理廉政风险点及防控措施</w:t>
            </w:r>
            <w:bookmarkEnd w:id="2"/>
            <w:bookmarkEnd w:id="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57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9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环节名称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风险等级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表现形式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风险防范措施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293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 xml:space="preserve">  ①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收集申请人所递交材料，并依据《残疾人证管理办法》进行预审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低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1.故意刁难申请人。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2.不按规定程序受理。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3.无原因超时办理。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4.不能一次性告知所需材料。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5.不严格审查或故意让虚假资料通过。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1.建立《残疾人证》申请、鉴定资料受理单制度。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2.严格履行服务承诺制度，做到首问负责的一次性告知。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3.政务公开，明确工作程序、时限等，按照项目核准规定办理。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4.内部监督检查、投诉举报受理。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46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 xml:space="preserve">  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残疾人证受理人签字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低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afterAutospacing="0" w:line="240" w:lineRule="atLeas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1.擅自改变审查条件、程序。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2.对审报材料的审核把关不严，对重大质疑点，疏忽或故意隐瞒。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line="240" w:lineRule="atLeas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1.建立受理单制度。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2.实行审核留痕制度。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tLeast"/>
              <w:ind w:left="0" w:leftChars="0" w:right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44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 xml:space="preserve">  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对递交材料的个人，就所接收材料是否符合、真实性及标准化进行现场审核。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1.擅自增加或减少审查条件、程序。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2.对审报材料的审核把关不严，对重大质疑点，疏忽或故意隐瞒。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3.无原因超时办理。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4.向评审专家打招呼，提出非正常意图。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1.量化审查标准，执行回避制度。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2.实行审核留痕制度。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3.设立举报电话、举报箱和信访受理。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86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④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将《残疾人证》审核资料报局分管领导审批。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1.擅自改变审核结论。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2.违反程度、违规越权审核审批。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3.会审、会签中压件不办，或不按规定把关。               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1.对强化事后监管，发现并及时纠正审批过程中存在的问题。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2.严格执行责任追究制度。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⑤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审核通过后，对申请人登记核发残疾人证。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低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1.擅自改动内容，制作证书不规范。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2.不及时办结。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3.不及时发放。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1.政务公开。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2.加强内部监管，落实责任追究。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pgSz w:w="16838" w:h="11906" w:orient="landscape"/>
          <w:pgMar w:top="1803" w:right="1240" w:bottom="1803" w:left="898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>
      <w:pPr>
        <w:pStyle w:val="2"/>
        <w:jc w:val="right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  <w:bookmarkStart w:id="4" w:name="_Toc12250"/>
      <w:bookmarkStart w:id="5" w:name="_Toc10643"/>
      <w:r>
        <w:rPr>
          <w:rFonts w:hint="eastAsia"/>
        </w:rPr>
        <w:t>按比例就业年审</w:t>
      </w:r>
      <w:r>
        <w:rPr>
          <w:rFonts w:hint="eastAsia"/>
          <w:lang w:eastAsia="zh-CN"/>
        </w:rPr>
        <w:t>廉政</w:t>
      </w:r>
      <w:r>
        <w:rPr>
          <w:rFonts w:hint="eastAsia"/>
        </w:rPr>
        <w:t>风险点</w:t>
      </w:r>
      <w:r>
        <w:rPr>
          <w:rFonts w:hint="eastAsia"/>
          <w:lang w:eastAsia="zh-CN"/>
        </w:rPr>
        <w:t>、表现形式及防控措施</w:t>
      </w:r>
      <w:bookmarkEnd w:id="4"/>
      <w:bookmarkEnd w:id="5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400"/>
        <w:gridCol w:w="699"/>
        <w:gridCol w:w="3774"/>
        <w:gridCol w:w="5809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eastAsia="zh-CN"/>
              </w:rPr>
              <w:t>序号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eastAsia="zh-CN"/>
              </w:rPr>
              <w:t>环节名称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eastAsia="zh-CN"/>
              </w:rPr>
              <w:t>风险等级</w:t>
            </w:r>
          </w:p>
        </w:tc>
        <w:tc>
          <w:tcPr>
            <w:tcW w:w="3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eastAsia="zh-CN"/>
              </w:rPr>
              <w:t>表现形式</w:t>
            </w:r>
          </w:p>
        </w:tc>
        <w:tc>
          <w:tcPr>
            <w:tcW w:w="5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风险防范措施</w:t>
            </w:r>
          </w:p>
        </w:tc>
        <w:tc>
          <w:tcPr>
            <w:tcW w:w="8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①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受理</w:t>
            </w:r>
            <w:r>
              <w:rPr>
                <w:rFonts w:hint="eastAsia"/>
                <w:sz w:val="21"/>
                <w:szCs w:val="21"/>
              </w:rPr>
              <w:t>按比例安排残疾人就业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低</w:t>
            </w:r>
          </w:p>
        </w:tc>
        <w:tc>
          <w:tcPr>
            <w:tcW w:w="3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1.故意刁难申请人；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.无原因超时办理；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.不能一次告知所需材料；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.不严格审查或故意让虚假资料通过。</w:t>
            </w:r>
          </w:p>
        </w:tc>
        <w:tc>
          <w:tcPr>
            <w:tcW w:w="5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1.实行受理单制；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2.严格履行服务承诺制度，做到首问责任和一次性告知；.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  <w:lang w:eastAsia="zh-CN"/>
              </w:rPr>
              <w:t>按照山西省按比例安排残疾人就业规定办理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4.内部监督检查、投诉举报受理。</w:t>
            </w:r>
          </w:p>
        </w:tc>
        <w:tc>
          <w:tcPr>
            <w:tcW w:w="893" w:type="dxa"/>
            <w:tcBorders>
              <w:tl2br w:val="nil"/>
              <w:tr2bl w:val="nil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按比例安排残疾人就业年度审核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中</w:t>
            </w:r>
          </w:p>
        </w:tc>
        <w:tc>
          <w:tcPr>
            <w:tcW w:w="3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1.擅自</w:t>
            </w:r>
            <w:r>
              <w:rPr>
                <w:rFonts w:hint="eastAsia"/>
                <w:sz w:val="18"/>
                <w:szCs w:val="18"/>
                <w:lang w:eastAsia="zh-CN"/>
              </w:rPr>
              <w:t>增加或减少审查条件、程序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2.无原因超时办理；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3.故意刁难，附加有偿服务或指定中介服务；</w:t>
            </w:r>
          </w:p>
          <w:p>
            <w:pPr>
              <w:jc w:val="both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  <w:lang w:eastAsia="zh-CN"/>
              </w:rPr>
              <w:t>对审报材料的审核把关不严，对重大质疑点疏忽或故意隐瞒。</w:t>
            </w:r>
          </w:p>
        </w:tc>
        <w:tc>
          <w:tcPr>
            <w:tcW w:w="5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eastAsia="zh-CN"/>
              </w:rPr>
              <w:t>.实行审批留痕制度；</w:t>
            </w:r>
          </w:p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2.定期到单位检查抽查；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3.设立举报电话、举报箱和信访受理，接受社会监督。</w:t>
            </w:r>
          </w:p>
        </w:tc>
        <w:tc>
          <w:tcPr>
            <w:tcW w:w="893" w:type="dxa"/>
            <w:tcBorders>
              <w:tl2br w:val="nil"/>
              <w:tr2bl w:val="nil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领导签批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低</w:t>
            </w:r>
          </w:p>
        </w:tc>
        <w:tc>
          <w:tcPr>
            <w:tcW w:w="3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1.擅自降低标准。</w:t>
            </w:r>
          </w:p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2.不符合条件的给予批准。</w:t>
            </w:r>
          </w:p>
        </w:tc>
        <w:tc>
          <w:tcPr>
            <w:tcW w:w="5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1.严格执行标准要求。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.强化批后监管，发现并及时纠正审批过程中存在的问题；</w:t>
            </w:r>
          </w:p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纪检监察制度；设立举报电话、举报箱和信访受理。</w:t>
            </w:r>
          </w:p>
        </w:tc>
        <w:tc>
          <w:tcPr>
            <w:tcW w:w="893" w:type="dxa"/>
            <w:tcBorders>
              <w:tl2br w:val="nil"/>
              <w:tr2bl w:val="nil"/>
            </w:tcBorders>
            <w:noWrap w:val="0"/>
            <w:vAlign w:val="top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8C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400" w:lineRule="exact"/>
      <w:outlineLvl w:val="1"/>
    </w:pPr>
    <w:rPr>
      <w:rFonts w:ascii="Arial" w:hAnsi="Arial" w:eastAsia="黑体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9">
    <w:name w:val="font41"/>
    <w:basedOn w:val="6"/>
    <w:uiPriority w:val="0"/>
    <w:rPr>
      <w:rFonts w:hint="eastAsia" w:ascii="黑体" w:eastAsia="黑体" w:cs="黑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2022-01-14T00:38:13Z</dcterms:created>
  <dc:creator>Administrator</dc:creator>
  <cp:lastModifiedBy>Administrator</cp:lastModifiedBy>
  <dcterms:modified xsi:type="dcterms:W3CDTF">2022-01-14T00:41:43Z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6265CF4F48AB48C7B6611146ACB015E5</vt:lpwstr>
  </property>
</Properties>
</file>