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10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highlight w:val="none"/>
          <w:lang w:val="en-US" w:eastAsia="zh-CN"/>
        </w:rPr>
        <w:t>2021年地方政府债务信息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年末我市政府债务余额为141900万元，一般债务余额73000万元，专项债务余额68900万元，债务余额保持在上级下达我市政府债务限额157400万元之内（一般债务限额76500万元，专项债务限额80900万元），债务风险总体安全可控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2021年我市共偿还政府债务本金15600万元，其中，财政资金偿还7000万元，发行再融资债券偿还8600万元。偿还政府债务利息3972.3万元。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2021年，为保障全市重点项目及民生工程建设和缓解化债压力，上级在下达的政府债务限额内，转贷我市政府债券38900万元，其中一般债券21600万元（再融资一般债券7600万元，新增一般债券14000万元），专项债券17300万元（再融资专项债券1000万元，新增专项债券16300万元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新增一般债券安排情况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新增一般债券资金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14000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沿黄旅游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改建工程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0万元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柳宗元小学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建设项目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，黄河大道地下停车场项目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2000万元，城东污水处理厂提效改造工程1000万元。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新增专项债券安排情况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新增专项债券资金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23600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人民医院整体搬迁项目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5000万元，经济技术开发区标准厂房及配套设施建设8100万元，华夏经典文化旅游区连片打造5A景区提升改造建设项目3200万元，柳宗元幼儿园建设项目2000万元；职中产教融合基地建设项目1300万元；黄河一号旅游公路永济至卿头支线改建工程4000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未来5年我市政府债券到期情况（不含11月发行的7300万元）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2022年到期本息23332.51万元，2023年到期本息13500.66万元，2024年到期本息25965.13万元，2025年到期本息9403.83万元，2026年到期本息9075.96万元。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65CC"/>
    <w:rsid w:val="14A61F43"/>
    <w:rsid w:val="16226150"/>
    <w:rsid w:val="299A65CC"/>
    <w:rsid w:val="452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2021-11-18T00:18:00Z</dcterms:created>
  <dc:creator>Administrator</dc:creator>
  <cp:lastModifiedBy>Administrator</cp:lastModifiedBy>
  <dcterms:modified xsi:type="dcterms:W3CDTF">2021-11-18T00:20:13Z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