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firstLine="880" w:firstLineChars="200"/>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永济市财政局</w:t>
      </w:r>
    </w:p>
    <w:p>
      <w:pPr>
        <w:spacing w:line="620" w:lineRule="exact"/>
        <w:ind w:firstLine="880" w:firstLineChars="200"/>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2020年财政总决算分析报告</w:t>
      </w:r>
    </w:p>
    <w:p>
      <w:pPr>
        <w:spacing w:line="580" w:lineRule="exact"/>
        <w:ind w:firstLine="640" w:firstLineChars="200"/>
        <w:rPr>
          <w:rFonts w:ascii="Times New Roman" w:hAnsi="Times New Roman"/>
          <w:sz w:val="32"/>
          <w:szCs w:val="32"/>
        </w:rPr>
      </w:pPr>
    </w:p>
    <w:p>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是永济发展历程中极不平凡的一年，全市上下以习近平新时代中国特色社会主义思想为指导，统筹推进疫情防控和经济社会发展，聚力“六稳”“六保”“六新”,在挑战中争取主动，在困难中砥砺前行。在市委的正确领导和市人大、市政协的监督支持下，全市上下紧紧围绕经济发展的总体目标，财税部门努力克服新型冠状病毒感染肺炎疫情带来的影响，狠抓收入征管，积极争取转移支付资金，优化支出结构，严格执行人代会批准的收支预算，较好的完成了各项目标任务，有力地支持了全市经济发展。</w:t>
      </w:r>
    </w:p>
    <w:p>
      <w:pPr>
        <w:spacing w:line="580" w:lineRule="exact"/>
        <w:ind w:firstLine="640" w:firstLineChars="200"/>
        <w:rPr>
          <w:rFonts w:asciiTheme="minorEastAsia" w:hAnsiTheme="minorEastAsia" w:eastAsiaTheme="minorEastAsia"/>
          <w:sz w:val="32"/>
          <w:szCs w:val="32"/>
        </w:rPr>
      </w:pPr>
      <w:r>
        <w:rPr>
          <w:rFonts w:hint="eastAsia" w:ascii="黑体" w:hAnsi="黑体" w:eastAsia="黑体"/>
          <w:sz w:val="32"/>
          <w:szCs w:val="32"/>
        </w:rPr>
        <w:t>一、政府性收支总体情况</w:t>
      </w:r>
    </w:p>
    <w:p>
      <w:pPr>
        <w:spacing w:line="580" w:lineRule="exact"/>
        <w:ind w:firstLine="640" w:firstLineChars="200"/>
        <w:rPr>
          <w:rFonts w:ascii="宋体" w:hAnsi="宋体" w:cs="宋体"/>
          <w:sz w:val="32"/>
        </w:rPr>
      </w:pPr>
      <w:r>
        <w:rPr>
          <w:rFonts w:hint="eastAsia" w:ascii="宋体" w:hAnsi="宋体" w:cs="宋体"/>
          <w:sz w:val="32"/>
          <w:szCs w:val="32"/>
        </w:rPr>
        <w:t>按照2020年总决算报表体系划分，我市政府性收支主要由三大部分组成：一般公共决算、政府性基金决算和国有资本经营决算。</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（一）全市政府性收支总况</w:t>
      </w:r>
    </w:p>
    <w:p>
      <w:pPr>
        <w:spacing w:line="580" w:lineRule="exact"/>
        <w:ind w:firstLine="640" w:firstLineChars="200"/>
        <w:rPr>
          <w:rFonts w:ascii="宋体" w:hAnsi="宋体" w:cs="宋体"/>
          <w:sz w:val="32"/>
          <w:szCs w:val="32"/>
        </w:rPr>
      </w:pPr>
      <w:r>
        <w:rPr>
          <w:rFonts w:hint="eastAsia" w:ascii="宋体" w:hAnsi="宋体" w:cs="宋体"/>
          <w:sz w:val="32"/>
          <w:szCs w:val="32"/>
        </w:rPr>
        <w:t xml:space="preserve">2020年全市政府性收入完成93240万元，其中一般公共预算50152万元，政府性基金43082万元，国有资本经营6万元。   </w:t>
      </w:r>
    </w:p>
    <w:p>
      <w:pPr>
        <w:spacing w:line="580" w:lineRule="exact"/>
        <w:ind w:firstLine="640" w:firstLineChars="200"/>
        <w:rPr>
          <w:rFonts w:ascii="宋体" w:hAnsi="宋体" w:cs="宋体"/>
          <w:sz w:val="32"/>
          <w:szCs w:val="32"/>
        </w:rPr>
      </w:pPr>
      <w:r>
        <w:rPr>
          <w:rFonts w:hint="eastAsia" w:ascii="宋体" w:hAnsi="宋体" w:cs="宋体"/>
          <w:sz w:val="32"/>
          <w:szCs w:val="32"/>
        </w:rPr>
        <w:t>2020年全市政府性支出完成346065万元，其中一般公共预算297880万元，政府性基金46616万元，国有资本经营1569万元。</w:t>
      </w:r>
    </w:p>
    <w:p>
      <w:pPr>
        <w:spacing w:line="580" w:lineRule="exact"/>
        <w:ind w:firstLine="643" w:firstLineChars="200"/>
        <w:rPr>
          <w:rFonts w:ascii="宋体" w:hAnsi="宋体" w:cs="宋体"/>
          <w:b/>
          <w:bCs/>
          <w:sz w:val="32"/>
          <w:szCs w:val="32"/>
        </w:rPr>
      </w:pPr>
      <w:r>
        <w:rPr>
          <w:rFonts w:hint="eastAsia" w:ascii="宋体" w:hAnsi="宋体" w:cs="宋体"/>
          <w:b/>
          <w:bCs/>
          <w:sz w:val="32"/>
          <w:szCs w:val="32"/>
        </w:rPr>
        <w:t>（二）</w:t>
      </w:r>
      <w:bookmarkStart w:id="0" w:name="政府性收支平衡情况"/>
      <w:r>
        <w:rPr>
          <w:rFonts w:hint="eastAsia" w:ascii="宋体" w:hAnsi="宋体" w:cs="宋体"/>
          <w:b/>
          <w:bCs/>
          <w:sz w:val="32"/>
          <w:szCs w:val="32"/>
        </w:rPr>
        <w:t>政府性收支平衡情况</w:t>
      </w:r>
      <w:bookmarkEnd w:id="0"/>
    </w:p>
    <w:p>
      <w:pPr>
        <w:spacing w:line="580" w:lineRule="exact"/>
        <w:ind w:firstLine="640"/>
        <w:rPr>
          <w:rFonts w:ascii="宋体" w:hAnsi="宋体" w:cs="宋体"/>
          <w:sz w:val="32"/>
        </w:rPr>
      </w:pPr>
      <w:r>
        <w:rPr>
          <w:rFonts w:hint="eastAsia" w:ascii="宋体" w:hAnsi="宋体" w:cs="宋体"/>
          <w:sz w:val="32"/>
        </w:rPr>
        <w:t>2020年一般公共预算收入50152万元，上级补助收入231196万元（返还性收入1604万元、一般性转移支付202821万元、专项转移支付26771万元），债务转贷收入15000万元，上年结余2507万元，动用预算稳定调节基金15009万元，调入资金8324万元，收入总计322188万元。一般公共预算支出297880万元，上解上级支出9908万元，</w:t>
      </w:r>
      <w:r>
        <w:rPr>
          <w:rFonts w:hint="eastAsia" w:ascii="宋体" w:hAnsi="宋体" w:cs="宋体"/>
          <w:sz w:val="32"/>
          <w:lang w:eastAsia="zh-CN"/>
        </w:rPr>
        <w:t>债务还本支出</w:t>
      </w:r>
      <w:r>
        <w:rPr>
          <w:rFonts w:hint="eastAsia" w:ascii="宋体" w:hAnsi="宋体" w:cs="宋体"/>
          <w:sz w:val="32"/>
          <w:lang w:val="en-US" w:eastAsia="zh-CN"/>
        </w:rPr>
        <w:t>3500万元，</w:t>
      </w:r>
      <w:r>
        <w:rPr>
          <w:rFonts w:hint="eastAsia" w:ascii="宋体" w:hAnsi="宋体" w:cs="宋体"/>
          <w:sz w:val="32"/>
        </w:rPr>
        <w:t>安排预算稳定调节基金7269万元，年终结余3631万元，支出总计322188万元。</w:t>
      </w:r>
    </w:p>
    <w:p>
      <w:pPr>
        <w:spacing w:line="580" w:lineRule="exact"/>
        <w:ind w:firstLine="640"/>
        <w:rPr>
          <w:rFonts w:ascii="宋体" w:hAnsi="宋体" w:cs="宋体"/>
          <w:sz w:val="32"/>
        </w:rPr>
      </w:pPr>
      <w:r>
        <w:rPr>
          <w:rFonts w:hint="eastAsia" w:ascii="宋体" w:hAnsi="宋体" w:cs="宋体"/>
          <w:sz w:val="32"/>
        </w:rPr>
        <w:t>2020年政府性基金收入43082万元，上级补助收入7600万元，债务转贷收入9000万元，政府性基金上年结余11470万元，收入总计71152万元。政府性基金支出46616万元，调出资金6794万元，债务还本支出5000万元，年终结余12742万元，支出总计71152万元。</w:t>
      </w:r>
    </w:p>
    <w:p>
      <w:pPr>
        <w:spacing w:line="580" w:lineRule="exact"/>
        <w:ind w:firstLine="640" w:firstLineChars="200"/>
        <w:rPr>
          <w:rFonts w:ascii="宋体" w:hAnsi="宋体" w:cs="宋体"/>
          <w:sz w:val="32"/>
        </w:rPr>
      </w:pPr>
      <w:r>
        <w:rPr>
          <w:rFonts w:hint="eastAsia" w:ascii="宋体" w:hAnsi="宋体" w:cs="宋体"/>
          <w:sz w:val="32"/>
        </w:rPr>
        <w:t>2020年国有资本经营预算收入6万元，上级补助收入1564万元，上年结余2万元，收入总计1572万元。国有资本经营支出1569万元，</w:t>
      </w:r>
      <w:r>
        <w:rPr>
          <w:rFonts w:hint="eastAsia" w:ascii="宋体" w:hAnsi="宋体" w:cs="宋体"/>
          <w:sz w:val="32"/>
          <w:lang w:eastAsia="zh-CN"/>
        </w:rPr>
        <w:t>调出资金</w:t>
      </w:r>
      <w:r>
        <w:rPr>
          <w:rFonts w:hint="eastAsia" w:ascii="宋体" w:hAnsi="宋体" w:cs="宋体"/>
          <w:sz w:val="32"/>
        </w:rPr>
        <w:t>3万元，支出总计1572万元。</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二、全市财政总收入情况</w:t>
      </w:r>
    </w:p>
    <w:p>
      <w:pPr>
        <w:spacing w:line="580" w:lineRule="exact"/>
        <w:rPr>
          <w:rFonts w:ascii="宋体" w:hAnsi="宋体" w:cs="宋体"/>
          <w:b/>
          <w:bCs/>
          <w:sz w:val="32"/>
          <w:szCs w:val="32"/>
        </w:rPr>
      </w:pPr>
      <w:r>
        <w:rPr>
          <w:rFonts w:hint="eastAsia" w:ascii="仿宋_GB2312" w:hAnsi="楷体" w:eastAsia="仿宋_GB2312"/>
          <w:b/>
          <w:bCs/>
          <w:sz w:val="32"/>
          <w:szCs w:val="32"/>
        </w:rPr>
        <w:t xml:space="preserve">   </w:t>
      </w:r>
      <w:r>
        <w:rPr>
          <w:rFonts w:hint="eastAsia" w:ascii="宋体" w:hAnsi="宋体" w:cs="宋体"/>
          <w:b/>
          <w:bCs/>
          <w:sz w:val="32"/>
          <w:szCs w:val="32"/>
        </w:rPr>
        <w:t xml:space="preserve"> （一）财政总收入基本情况</w:t>
      </w:r>
    </w:p>
    <w:p>
      <w:pPr>
        <w:spacing w:line="580" w:lineRule="exact"/>
        <w:ind w:firstLine="640"/>
        <w:rPr>
          <w:rFonts w:ascii="宋体" w:hAnsi="宋体" w:cs="宋体"/>
          <w:sz w:val="32"/>
        </w:rPr>
      </w:pPr>
      <w:r>
        <w:rPr>
          <w:rFonts w:hint="eastAsia" w:ascii="宋体" w:hAnsi="宋体" w:cs="宋体"/>
          <w:sz w:val="32"/>
        </w:rPr>
        <w:t>2020年，全市财政总收入完成81857万元，比上年同期增长2.9%，增收2292万元。财政总收入总量排名全市第八名，增长排名全市第七名。</w:t>
      </w:r>
    </w:p>
    <w:p>
      <w:pPr>
        <w:spacing w:line="580" w:lineRule="exact"/>
        <w:ind w:firstLine="640"/>
        <w:rPr>
          <w:rFonts w:ascii="宋体" w:hAnsi="宋体" w:cs="宋体"/>
          <w:b/>
          <w:bCs/>
          <w:sz w:val="32"/>
        </w:rPr>
      </w:pPr>
      <w:r>
        <w:rPr>
          <w:rFonts w:hint="eastAsia" w:ascii="宋体" w:hAnsi="宋体" w:cs="宋体"/>
          <w:b/>
          <w:bCs/>
          <w:sz w:val="32"/>
          <w:szCs w:val="32"/>
        </w:rPr>
        <w:t>（二）财政总收入结构情况</w:t>
      </w:r>
    </w:p>
    <w:p>
      <w:pPr>
        <w:spacing w:line="580" w:lineRule="exact"/>
        <w:ind w:firstLine="640"/>
        <w:rPr>
          <w:rFonts w:ascii="宋体" w:hAnsi="宋体" w:cs="宋体"/>
          <w:sz w:val="32"/>
          <w:szCs w:val="32"/>
        </w:rPr>
      </w:pPr>
      <w:r>
        <w:rPr>
          <w:rFonts w:hint="eastAsia" w:ascii="宋体" w:hAnsi="宋体" w:cs="宋体"/>
          <w:sz w:val="32"/>
          <w:szCs w:val="32"/>
        </w:rPr>
        <w:t xml:space="preserve"> 1.分级次情况,</w:t>
      </w:r>
      <w:r>
        <w:rPr>
          <w:rFonts w:hint="eastAsia" w:ascii="宋体" w:hAnsi="宋体" w:cs="宋体"/>
          <w:sz w:val="32"/>
        </w:rPr>
        <w:t xml:space="preserve"> 上划中央24707万元，</w:t>
      </w:r>
      <w:r>
        <w:rPr>
          <w:rFonts w:hint="eastAsia" w:ascii="宋体" w:hAnsi="宋体" w:cs="宋体"/>
          <w:sz w:val="32"/>
          <w:szCs w:val="32"/>
        </w:rPr>
        <w:t>比上年增长1.9%，增收4511万元，占财政总收入比重30.2%。</w:t>
      </w:r>
      <w:r>
        <w:rPr>
          <w:rFonts w:hint="eastAsia" w:ascii="宋体" w:hAnsi="宋体" w:cs="宋体"/>
          <w:sz w:val="32"/>
        </w:rPr>
        <w:t>上划省级6998万元，</w:t>
      </w:r>
      <w:r>
        <w:rPr>
          <w:rFonts w:hint="eastAsia" w:ascii="宋体" w:hAnsi="宋体" w:cs="宋体"/>
          <w:sz w:val="32"/>
          <w:szCs w:val="32"/>
        </w:rPr>
        <w:t>比上年增长2.9%，增收196万元，占财政总收入比重8.5%</w:t>
      </w:r>
      <w:r>
        <w:rPr>
          <w:rFonts w:hint="eastAsia" w:ascii="宋体" w:hAnsi="宋体" w:cs="宋体"/>
          <w:sz w:val="32"/>
        </w:rPr>
        <w:t>。</w:t>
      </w:r>
      <w:r>
        <w:rPr>
          <w:rFonts w:hint="eastAsia" w:ascii="宋体" w:hAnsi="宋体" w:cs="宋体"/>
          <w:sz w:val="32"/>
          <w:szCs w:val="32"/>
        </w:rPr>
        <w:t>一般公共预算收入完成</w:t>
      </w:r>
      <w:r>
        <w:rPr>
          <w:rFonts w:hint="eastAsia" w:ascii="宋体" w:hAnsi="宋体" w:cs="宋体"/>
          <w:sz w:val="32"/>
        </w:rPr>
        <w:t>50152</w:t>
      </w:r>
      <w:r>
        <w:rPr>
          <w:rFonts w:hint="eastAsia" w:ascii="宋体" w:hAnsi="宋体" w:cs="宋体"/>
          <w:sz w:val="32"/>
          <w:szCs w:val="32"/>
        </w:rPr>
        <w:t>，比上年增长3.4%，增收1645万元，占财政收入比重61.3%。</w:t>
      </w:r>
    </w:p>
    <w:p>
      <w:pPr>
        <w:spacing w:line="580" w:lineRule="exact"/>
        <w:ind w:firstLine="640"/>
        <w:rPr>
          <w:rFonts w:ascii="宋体" w:hAnsi="宋体" w:cs="宋体"/>
          <w:sz w:val="32"/>
        </w:rPr>
      </w:pPr>
      <w:r>
        <w:rPr>
          <w:rFonts w:hint="eastAsia" w:ascii="宋体" w:hAnsi="宋体" w:cs="宋体"/>
          <w:sz w:val="32"/>
          <w:szCs w:val="32"/>
        </w:rPr>
        <w:t>2.分部门情况，</w:t>
      </w:r>
      <w:r>
        <w:rPr>
          <w:rFonts w:hint="eastAsia" w:ascii="宋体" w:hAnsi="宋体" w:cs="宋体"/>
          <w:sz w:val="32"/>
        </w:rPr>
        <w:t>税务部门完成62210万元，占年初计划64066万元的97.1%，短收1856万元，比上年60927万元增长2.1%，增收1283万元，</w:t>
      </w:r>
      <w:r>
        <w:rPr>
          <w:rFonts w:hint="eastAsia" w:ascii="宋体" w:hAnsi="宋体" w:cs="宋体"/>
          <w:sz w:val="32"/>
          <w:szCs w:val="32"/>
        </w:rPr>
        <w:t>占财政总收入比重76%</w:t>
      </w:r>
      <w:r>
        <w:rPr>
          <w:rFonts w:hint="eastAsia" w:ascii="宋体" w:hAnsi="宋体" w:cs="宋体"/>
          <w:sz w:val="32"/>
        </w:rPr>
        <w:t>。财政部门完成19647万元，占年初计划17107万元的114.8%，超收2540万元，比上年18638万元增长5.4%，增收1009万元，</w:t>
      </w:r>
      <w:r>
        <w:rPr>
          <w:rFonts w:hint="eastAsia" w:ascii="宋体" w:hAnsi="宋体" w:cs="宋体"/>
          <w:sz w:val="32"/>
          <w:szCs w:val="32"/>
        </w:rPr>
        <w:t>占财政总收入比重24%</w:t>
      </w:r>
      <w:r>
        <w:rPr>
          <w:rFonts w:hint="eastAsia" w:ascii="宋体" w:hAnsi="宋体" w:cs="宋体"/>
          <w:sz w:val="32"/>
        </w:rPr>
        <w:t>。税收收入占财政收入比重与上年基本持平。</w:t>
      </w:r>
    </w:p>
    <w:p>
      <w:pPr>
        <w:ind w:firstLine="640"/>
        <w:jc w:val="center"/>
        <w:rPr>
          <w:rFonts w:ascii="仿宋_GB2312" w:hAnsi="仿宋" w:eastAsia="仿宋_GB2312" w:cs="仿宋"/>
          <w:sz w:val="32"/>
        </w:rPr>
      </w:pPr>
      <w:r>
        <w:pict>
          <v:shape id="_x0000_i1025" o:spt="75" type="#_x0000_t75" style="height:207pt;width:318.7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">
            <v:path/>
            <v:fill on="f" focussize="0,0"/>
            <v:stroke on="f" joinstyle="miter"/>
            <v:imagedata r:id="rId6" o:title=""/>
            <o:lock v:ext="edit" aspectratio="f"/>
            <w10:wrap type="none"/>
            <w10:anchorlock/>
          </v:shape>
        </w:pict>
      </w:r>
      <w:r>
        <w:pict>
          <v:shape id="_x0000_i1026" o:spt="75" type="#_x0000_t75" style="height:208.5pt;width:310.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">
            <v:path/>
            <v:fill on="f" focussize="0,0"/>
            <v:stroke on="f" joinstyle="miter"/>
            <v:imagedata r:id="rId7" cropbottom="-47f" o:title=""/>
            <o:lock v:ext="edit" aspectratio="f"/>
            <w10:wrap type="none"/>
            <w10:anchorlock/>
          </v:shape>
        </w:pict>
      </w:r>
    </w:p>
    <w:p>
      <w:pPr>
        <w:spacing w:line="600" w:lineRule="exact"/>
        <w:ind w:firstLine="640" w:firstLineChars="200"/>
        <w:rPr>
          <w:rFonts w:ascii="仿宋_GB2312" w:hAnsi="仿宋" w:eastAsia="仿宋_GB2312" w:cs="仿宋"/>
          <w:sz w:val="32"/>
        </w:rPr>
      </w:pPr>
      <w:r>
        <w:rPr>
          <w:rFonts w:hint="eastAsia" w:ascii="黑体" w:hAnsi="黑体" w:eastAsia="黑体"/>
          <w:sz w:val="32"/>
          <w:szCs w:val="32"/>
        </w:rPr>
        <w:t>三、全市一般公共预算收支情况</w:t>
      </w:r>
    </w:p>
    <w:p>
      <w:pPr>
        <w:spacing w:line="600" w:lineRule="exact"/>
        <w:ind w:firstLine="643" w:firstLineChars="200"/>
        <w:rPr>
          <w:rFonts w:ascii="宋体" w:hAnsi="宋体" w:cs="宋体"/>
          <w:b/>
          <w:bCs/>
          <w:sz w:val="32"/>
        </w:rPr>
      </w:pPr>
      <w:r>
        <w:rPr>
          <w:rFonts w:hint="eastAsia" w:ascii="宋体" w:hAnsi="宋体" w:cs="宋体"/>
          <w:b/>
          <w:bCs/>
          <w:sz w:val="32"/>
          <w:szCs w:val="32"/>
        </w:rPr>
        <w:t>(一）一般公共预算收入完成情况</w:t>
      </w:r>
    </w:p>
    <w:p>
      <w:pPr>
        <w:spacing w:line="600" w:lineRule="exact"/>
        <w:ind w:firstLine="640" w:firstLineChars="200"/>
        <w:rPr>
          <w:rFonts w:ascii="宋体" w:hAnsi="宋体" w:cs="宋体"/>
          <w:sz w:val="32"/>
        </w:rPr>
      </w:pPr>
      <w:r>
        <w:rPr>
          <w:rFonts w:hint="eastAsia" w:ascii="宋体" w:hAnsi="宋体" w:cs="宋体"/>
          <w:kern w:val="0"/>
          <w:sz w:val="32"/>
          <w:szCs w:val="32"/>
        </w:rPr>
        <w:t>2020年，</w:t>
      </w:r>
      <w:r>
        <w:rPr>
          <w:rFonts w:hint="eastAsia" w:ascii="宋体" w:hAnsi="宋体" w:cs="宋体"/>
          <w:sz w:val="32"/>
        </w:rPr>
        <w:t>我市一般公共预算收入完成50152万元，占年初预算49963万元的100.4%，超收189万元，比上年48507万元增长3.4%，增收1645万元。一般公共预算收入总量排名全市第四名，增长排名全市第八名。</w:t>
      </w:r>
    </w:p>
    <w:p>
      <w:pPr>
        <w:spacing w:line="600" w:lineRule="exact"/>
        <w:ind w:firstLine="640" w:firstLineChars="200"/>
        <w:rPr>
          <w:rFonts w:ascii="宋体" w:hAnsi="宋体" w:cs="宋体"/>
          <w:sz w:val="32"/>
        </w:rPr>
      </w:pPr>
      <w:r>
        <w:rPr>
          <w:rFonts w:hint="eastAsia" w:ascii="宋体" w:hAnsi="宋体" w:cs="宋体"/>
          <w:sz w:val="32"/>
        </w:rPr>
        <w:t>其中:税务部门完成30505万元，占年初预算32856万元的92.8%，短收2351万元，比上年29869万元增长2.1%，增收636万元,</w:t>
      </w:r>
      <w:r>
        <w:rPr>
          <w:rFonts w:hint="eastAsia" w:ascii="宋体" w:hAnsi="宋体" w:cs="宋体"/>
          <w:kern w:val="0"/>
          <w:sz w:val="32"/>
          <w:szCs w:val="32"/>
        </w:rPr>
        <w:t xml:space="preserve"> 占一般公共预算收入比重60.8%</w:t>
      </w:r>
      <w:r>
        <w:rPr>
          <w:rFonts w:hint="eastAsia" w:ascii="宋体" w:hAnsi="宋体" w:cs="宋体"/>
          <w:sz w:val="32"/>
        </w:rPr>
        <w:t>。财政部门完成19647万元，占年初预算17107万元的114.8%，超收2540万元，比上年18638万元增长5.4%，增收1009万元,</w:t>
      </w:r>
      <w:r>
        <w:rPr>
          <w:rFonts w:hint="eastAsia" w:ascii="宋体" w:hAnsi="宋体" w:cs="宋体"/>
          <w:kern w:val="0"/>
          <w:sz w:val="32"/>
          <w:szCs w:val="32"/>
        </w:rPr>
        <w:t xml:space="preserve"> 占一般公共预算收入比重39.2%</w:t>
      </w:r>
      <w:r>
        <w:rPr>
          <w:rFonts w:hint="eastAsia" w:ascii="宋体" w:hAnsi="宋体" w:cs="宋体"/>
          <w:sz w:val="32"/>
        </w:rPr>
        <w:t>。</w:t>
      </w:r>
    </w:p>
    <w:p>
      <w:pPr>
        <w:spacing w:line="600" w:lineRule="exact"/>
        <w:ind w:firstLine="643" w:firstLineChars="200"/>
        <w:rPr>
          <w:rFonts w:ascii="宋体" w:hAnsi="宋体" w:cs="宋体"/>
          <w:b/>
          <w:bCs/>
          <w:sz w:val="32"/>
          <w:szCs w:val="32"/>
        </w:rPr>
      </w:pPr>
      <w:r>
        <w:rPr>
          <w:rFonts w:hint="eastAsia" w:ascii="宋体" w:hAnsi="宋体" w:cs="宋体"/>
          <w:b/>
          <w:bCs/>
          <w:sz w:val="32"/>
          <w:szCs w:val="32"/>
        </w:rPr>
        <w:t>（二）分税种收入分析</w:t>
      </w:r>
    </w:p>
    <w:p>
      <w:pPr>
        <w:spacing w:line="600" w:lineRule="exact"/>
        <w:ind w:firstLine="640" w:firstLineChars="200"/>
        <w:rPr>
          <w:rFonts w:ascii="宋体" w:hAnsi="宋体" w:cs="宋体"/>
          <w:sz w:val="32"/>
        </w:rPr>
      </w:pPr>
      <w:r>
        <w:rPr>
          <w:rFonts w:hint="eastAsia" w:ascii="宋体" w:hAnsi="宋体" w:cs="宋体"/>
          <w:sz w:val="32"/>
        </w:rPr>
        <w:t>十五项税收中，增值税完成14099万元，比上年同期11817万元增收2282万元，增长19.3%，占一般公共预算收入的比重为28.1%，较上年同期增长3.7个百分点；企业所得税完成1667万元，比上年同期2785万元减收1118万元，下降40.1%，占一般公共预算收入的比重为3.3%，较上年同期下降2.4个百分点；个人所得税完成508万元，比上年同期474万元增收34万元，增长7.2%，占一般公共预算收入的比重为1%，与上年持平；其他税收中契税完成2304万元，比上年同期3465万元减收1161万元，下降33.5%；非税收入完成19647万元，比上年同期18638万元增收1009万元，增长5.4%，占一般公共预算收入的比重为39.2%，比上年同期增长0.8个百分点。</w:t>
      </w:r>
    </w:p>
    <w:tbl>
      <w:tblPr>
        <w:tblStyle w:val="5"/>
        <w:tblW w:w="7381" w:type="dxa"/>
        <w:tblInd w:w="98" w:type="dxa"/>
        <w:tblLayout w:type="fixed"/>
        <w:tblCellMar>
          <w:top w:w="0" w:type="dxa"/>
          <w:left w:w="108" w:type="dxa"/>
          <w:bottom w:w="0" w:type="dxa"/>
          <w:right w:w="108" w:type="dxa"/>
        </w:tblCellMar>
      </w:tblPr>
      <w:tblGrid>
        <w:gridCol w:w="1711"/>
        <w:gridCol w:w="993"/>
        <w:gridCol w:w="850"/>
        <w:gridCol w:w="851"/>
        <w:gridCol w:w="850"/>
        <w:gridCol w:w="992"/>
        <w:gridCol w:w="1134"/>
      </w:tblGrid>
      <w:tr>
        <w:tblPrEx>
          <w:tblCellMar>
            <w:top w:w="0" w:type="dxa"/>
            <w:left w:w="108" w:type="dxa"/>
            <w:bottom w:w="0" w:type="dxa"/>
            <w:right w:w="108" w:type="dxa"/>
          </w:tblCellMar>
        </w:tblPrEx>
        <w:trPr>
          <w:trHeight w:val="585" w:hRule="atLeast"/>
        </w:trPr>
        <w:tc>
          <w:tcPr>
            <w:tcW w:w="171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_GB2312" w:hAnsi="宋体" w:eastAsia="楷体_GB2312" w:cs="宋体"/>
                <w:b/>
                <w:bCs/>
                <w:color w:val="000000"/>
                <w:sz w:val="24"/>
                <w:szCs w:val="24"/>
              </w:rPr>
            </w:pPr>
            <w:r>
              <w:rPr>
                <w:rFonts w:hint="eastAsia" w:ascii="楷体_GB2312" w:eastAsia="楷体_GB2312"/>
                <w:b/>
                <w:bCs/>
                <w:color w:val="000000"/>
              </w:rPr>
              <w:t>收入项目</w:t>
            </w:r>
          </w:p>
        </w:tc>
        <w:tc>
          <w:tcPr>
            <w:tcW w:w="1843"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楷体_GB2312" w:hAnsi="宋体" w:eastAsia="楷体_GB2312" w:cs="宋体"/>
                <w:b/>
                <w:bCs/>
                <w:color w:val="000000"/>
                <w:sz w:val="24"/>
                <w:szCs w:val="24"/>
              </w:rPr>
            </w:pPr>
            <w:r>
              <w:rPr>
                <w:rFonts w:hint="eastAsia" w:ascii="楷体_GB2312" w:eastAsia="楷体_GB2312"/>
                <w:b/>
                <w:bCs/>
                <w:color w:val="000000"/>
              </w:rPr>
              <w:t>2020年</w:t>
            </w:r>
          </w:p>
        </w:tc>
        <w:tc>
          <w:tcPr>
            <w:tcW w:w="1701"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楷体_GB2312" w:hAnsi="宋体" w:eastAsia="楷体_GB2312" w:cs="宋体"/>
                <w:b/>
                <w:bCs/>
                <w:color w:val="000000"/>
                <w:sz w:val="24"/>
                <w:szCs w:val="24"/>
              </w:rPr>
            </w:pPr>
            <w:r>
              <w:rPr>
                <w:rFonts w:hint="eastAsia" w:ascii="楷体_GB2312" w:eastAsia="楷体_GB2312"/>
                <w:b/>
                <w:bCs/>
                <w:color w:val="000000"/>
              </w:rPr>
              <w:t>2019年</w:t>
            </w:r>
          </w:p>
        </w:tc>
        <w:tc>
          <w:tcPr>
            <w:tcW w:w="2126" w:type="dxa"/>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楷体_GB2312" w:hAnsi="宋体" w:eastAsia="楷体_GB2312" w:cs="宋体"/>
                <w:b/>
                <w:bCs/>
                <w:color w:val="000000"/>
                <w:sz w:val="24"/>
                <w:szCs w:val="24"/>
              </w:rPr>
            </w:pPr>
            <w:r>
              <w:rPr>
                <w:rFonts w:hint="eastAsia" w:ascii="楷体_GB2312" w:eastAsia="楷体_GB2312"/>
                <w:b/>
                <w:bCs/>
                <w:color w:val="000000"/>
              </w:rPr>
              <w:t>比较</w:t>
            </w:r>
          </w:p>
        </w:tc>
      </w:tr>
      <w:tr>
        <w:tblPrEx>
          <w:tblCellMar>
            <w:top w:w="0" w:type="dxa"/>
            <w:left w:w="108" w:type="dxa"/>
            <w:bottom w:w="0" w:type="dxa"/>
            <w:right w:w="108" w:type="dxa"/>
          </w:tblCellMar>
        </w:tblPrEx>
        <w:trPr>
          <w:trHeight w:val="300" w:hRule="atLeast"/>
        </w:trPr>
        <w:tc>
          <w:tcPr>
            <w:tcW w:w="1711" w:type="dxa"/>
            <w:vMerge w:val="continue"/>
            <w:tcBorders>
              <w:top w:val="single" w:color="auto" w:sz="8" w:space="0"/>
              <w:left w:val="single" w:color="auto" w:sz="8" w:space="0"/>
              <w:bottom w:val="single" w:color="000000" w:sz="8" w:space="0"/>
              <w:right w:val="single" w:color="auto" w:sz="8" w:space="0"/>
            </w:tcBorders>
            <w:vAlign w:val="center"/>
          </w:tcPr>
          <w:p>
            <w:pPr>
              <w:rPr>
                <w:rFonts w:ascii="楷体_GB2312" w:hAnsi="宋体" w:eastAsia="楷体_GB2312" w:cs="宋体"/>
                <w:b/>
                <w:bCs/>
                <w:color w:val="000000"/>
                <w:sz w:val="24"/>
                <w:szCs w:val="24"/>
              </w:rPr>
            </w:pP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b/>
                <w:bCs/>
                <w:color w:val="000000"/>
                <w:sz w:val="24"/>
                <w:szCs w:val="24"/>
              </w:rPr>
            </w:pPr>
            <w:r>
              <w:rPr>
                <w:rFonts w:hint="eastAsia" w:ascii="楷体_GB2312" w:eastAsia="楷体_GB2312"/>
                <w:b/>
                <w:bCs/>
                <w:color w:val="000000"/>
              </w:rPr>
              <w:t>收入数</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b/>
                <w:bCs/>
                <w:color w:val="000000"/>
                <w:sz w:val="24"/>
                <w:szCs w:val="24"/>
              </w:rPr>
            </w:pPr>
            <w:r>
              <w:rPr>
                <w:rFonts w:hint="eastAsia" w:ascii="楷体_GB2312" w:eastAsia="楷体_GB2312"/>
                <w:b/>
                <w:bCs/>
                <w:color w:val="000000"/>
              </w:rPr>
              <w:t>比重</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b/>
                <w:bCs/>
                <w:color w:val="000000"/>
                <w:sz w:val="24"/>
                <w:szCs w:val="24"/>
              </w:rPr>
            </w:pPr>
            <w:r>
              <w:rPr>
                <w:rFonts w:hint="eastAsia" w:ascii="楷体_GB2312" w:eastAsia="楷体_GB2312"/>
                <w:b/>
                <w:bCs/>
                <w:color w:val="000000"/>
              </w:rPr>
              <w:t>收入数</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b/>
                <w:bCs/>
                <w:color w:val="000000"/>
                <w:sz w:val="24"/>
                <w:szCs w:val="24"/>
              </w:rPr>
            </w:pPr>
            <w:r>
              <w:rPr>
                <w:rFonts w:hint="eastAsia" w:ascii="楷体_GB2312" w:eastAsia="楷体_GB2312"/>
                <w:b/>
                <w:bCs/>
                <w:color w:val="000000"/>
              </w:rPr>
              <w:t>比重</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b/>
                <w:bCs/>
                <w:color w:val="000000"/>
                <w:sz w:val="24"/>
                <w:szCs w:val="24"/>
              </w:rPr>
            </w:pPr>
            <w:r>
              <w:rPr>
                <w:rFonts w:hint="eastAsia" w:ascii="楷体_GB2312" w:eastAsia="楷体_GB2312"/>
                <w:b/>
                <w:bCs/>
                <w:color w:val="000000"/>
              </w:rPr>
              <w:t>增收</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b/>
                <w:bCs/>
                <w:color w:val="000000"/>
                <w:sz w:val="24"/>
                <w:szCs w:val="24"/>
              </w:rPr>
            </w:pPr>
            <w:r>
              <w:rPr>
                <w:rFonts w:hint="eastAsia" w:ascii="楷体_GB2312" w:eastAsia="楷体_GB2312"/>
                <w:b/>
                <w:bCs/>
                <w:color w:val="000000"/>
              </w:rPr>
              <w:t>增幅</w:t>
            </w:r>
          </w:p>
        </w:tc>
      </w:tr>
      <w:tr>
        <w:tblPrEx>
          <w:tblCellMar>
            <w:top w:w="0" w:type="dxa"/>
            <w:left w:w="108" w:type="dxa"/>
            <w:bottom w:w="0" w:type="dxa"/>
            <w:right w:w="108" w:type="dxa"/>
          </w:tblCellMar>
        </w:tblPrEx>
        <w:trPr>
          <w:trHeight w:val="38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增值税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14099</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28.1%</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11817</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24.4%</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2282</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19.3%</w:t>
            </w:r>
          </w:p>
        </w:tc>
      </w:tr>
      <w:tr>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企业所得税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1667</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3.3%</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2785</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5.7%</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-1118</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-40.1%</w:t>
            </w:r>
          </w:p>
        </w:tc>
      </w:tr>
      <w:tr>
        <w:tblPrEx>
          <w:tblCellMar>
            <w:top w:w="0" w:type="dxa"/>
            <w:left w:w="108" w:type="dxa"/>
            <w:bottom w:w="0" w:type="dxa"/>
            <w:right w:w="108" w:type="dxa"/>
          </w:tblCellMar>
        </w:tblPrEx>
        <w:trPr>
          <w:trHeight w:val="336"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个人所得税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508</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1.0%</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474</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1.0%</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34</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7.2%</w:t>
            </w:r>
          </w:p>
        </w:tc>
      </w:tr>
      <w:tr>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资源税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297</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0.6%</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304</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0.6%</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-7</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-2.3%</w:t>
            </w:r>
          </w:p>
        </w:tc>
      </w:tr>
      <w:tr>
        <w:tblPrEx>
          <w:tblCellMar>
            <w:top w:w="0" w:type="dxa"/>
            <w:left w:w="108" w:type="dxa"/>
            <w:bottom w:w="0" w:type="dxa"/>
            <w:right w:w="108" w:type="dxa"/>
          </w:tblCellMar>
        </w:tblPrEx>
        <w:trPr>
          <w:trHeight w:val="318"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城市维护建设税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2939</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5.9%</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2660</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5.5%</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279</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10.5%</w:t>
            </w:r>
          </w:p>
        </w:tc>
      </w:tr>
      <w:tr>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房产税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1834</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3.7%</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1750</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3.6%</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84</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4.8%</w:t>
            </w:r>
          </w:p>
        </w:tc>
      </w:tr>
      <w:tr>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印花税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1028</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2.0%</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994</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2.0%</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34</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3.4%</w:t>
            </w:r>
          </w:p>
        </w:tc>
      </w:tr>
      <w:tr>
        <w:tblPrEx>
          <w:tblCellMar>
            <w:top w:w="0" w:type="dxa"/>
            <w:left w:w="108" w:type="dxa"/>
            <w:bottom w:w="0" w:type="dxa"/>
            <w:right w:w="108" w:type="dxa"/>
          </w:tblCellMar>
        </w:tblPrEx>
        <w:trPr>
          <w:trHeight w:val="378"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城镇土地使用税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1270</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2.5%</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1829</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3.8%</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-559</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-30.6%</w:t>
            </w:r>
          </w:p>
        </w:tc>
      </w:tr>
      <w:tr>
        <w:tblPrEx>
          <w:tblCellMar>
            <w:top w:w="0" w:type="dxa"/>
            <w:left w:w="108" w:type="dxa"/>
            <w:bottom w:w="0" w:type="dxa"/>
            <w:right w:w="108" w:type="dxa"/>
          </w:tblCellMar>
        </w:tblPrEx>
        <w:trPr>
          <w:trHeight w:val="328"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土地增值税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1710</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3.4%</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1090</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2.2%</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620</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56.9%</w:t>
            </w:r>
          </w:p>
        </w:tc>
      </w:tr>
      <w:tr>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车船税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2047</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4.1%</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1743</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3.6%</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304</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17.4%</w:t>
            </w:r>
          </w:p>
        </w:tc>
      </w:tr>
      <w:tr>
        <w:tblPrEx>
          <w:tblCellMar>
            <w:top w:w="0" w:type="dxa"/>
            <w:left w:w="108" w:type="dxa"/>
            <w:bottom w:w="0" w:type="dxa"/>
            <w:right w:w="108" w:type="dxa"/>
          </w:tblCellMar>
        </w:tblPrEx>
        <w:trPr>
          <w:trHeight w:val="416"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耕地占用税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685</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1.4%</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466</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1.0%</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219</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47.0%</w:t>
            </w:r>
          </w:p>
        </w:tc>
      </w:tr>
      <w:tr>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000000" w:fill="FFFFFF"/>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契税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2304</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4.6%</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3465</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7.1%</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-1161</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-33.5%</w:t>
            </w:r>
          </w:p>
        </w:tc>
      </w:tr>
      <w:tr>
        <w:tblPrEx>
          <w:tblCellMar>
            <w:top w:w="0" w:type="dxa"/>
            <w:left w:w="108" w:type="dxa"/>
            <w:bottom w:w="0" w:type="dxa"/>
            <w:right w:w="108" w:type="dxa"/>
          </w:tblCellMar>
        </w:tblPrEx>
        <w:trPr>
          <w:trHeight w:val="416" w:hRule="atLeast"/>
        </w:trPr>
        <w:tc>
          <w:tcPr>
            <w:tcW w:w="1711" w:type="dxa"/>
            <w:tcBorders>
              <w:top w:val="nil"/>
              <w:left w:val="single" w:color="auto" w:sz="8" w:space="0"/>
              <w:bottom w:val="single" w:color="auto" w:sz="8" w:space="0"/>
              <w:right w:val="single" w:color="auto" w:sz="8" w:space="0"/>
            </w:tcBorders>
            <w:shd w:val="clear" w:color="auto" w:fill="auto"/>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环境保护税</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85</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0.2%</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228</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0.5%</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-143</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-62.7%</w:t>
            </w:r>
          </w:p>
        </w:tc>
      </w:tr>
      <w:tr>
        <w:tblPrEx>
          <w:tblCellMar>
            <w:top w:w="0" w:type="dxa"/>
            <w:left w:w="108" w:type="dxa"/>
            <w:bottom w:w="0" w:type="dxa"/>
            <w:right w:w="108" w:type="dxa"/>
          </w:tblCellMar>
        </w:tblPrEx>
        <w:trPr>
          <w:trHeight w:val="338" w:hRule="atLeast"/>
        </w:trPr>
        <w:tc>
          <w:tcPr>
            <w:tcW w:w="1711" w:type="dxa"/>
            <w:tcBorders>
              <w:top w:val="nil"/>
              <w:left w:val="single" w:color="auto" w:sz="8" w:space="0"/>
              <w:bottom w:val="single" w:color="auto" w:sz="8" w:space="0"/>
              <w:right w:val="single" w:color="auto" w:sz="8" w:space="0"/>
            </w:tcBorders>
            <w:shd w:val="clear" w:color="auto" w:fill="auto"/>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其他税收收入</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32</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0.1%</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264</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0.5%</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-232</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-87.9%</w:t>
            </w:r>
          </w:p>
        </w:tc>
      </w:tr>
      <w:tr>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auto" w:fill="auto"/>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非税收入</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19647</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39.2%</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18638</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38.4%</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1009</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5.4%</w:t>
            </w:r>
          </w:p>
        </w:tc>
      </w:tr>
      <w:tr>
        <w:tblPrEx>
          <w:tblCellMar>
            <w:top w:w="0" w:type="dxa"/>
            <w:left w:w="108" w:type="dxa"/>
            <w:bottom w:w="0" w:type="dxa"/>
            <w:right w:w="108" w:type="dxa"/>
          </w:tblCellMar>
        </w:tblPrEx>
        <w:trPr>
          <w:trHeight w:val="300" w:hRule="atLeast"/>
        </w:trPr>
        <w:tc>
          <w:tcPr>
            <w:tcW w:w="1711" w:type="dxa"/>
            <w:tcBorders>
              <w:top w:val="nil"/>
              <w:left w:val="single" w:color="auto" w:sz="8" w:space="0"/>
              <w:bottom w:val="single" w:color="auto" w:sz="8" w:space="0"/>
              <w:right w:val="single" w:color="auto" w:sz="8" w:space="0"/>
            </w:tcBorders>
            <w:shd w:val="clear" w:color="auto" w:fill="auto"/>
            <w:vAlign w:val="center"/>
          </w:tcPr>
          <w:p>
            <w:pPr>
              <w:rPr>
                <w:rFonts w:ascii="楷体_GB2312" w:hAnsi="宋体" w:eastAsia="楷体_GB2312" w:cs="宋体"/>
                <w:b/>
                <w:bCs/>
                <w:color w:val="000000"/>
                <w:sz w:val="20"/>
                <w:szCs w:val="20"/>
              </w:rPr>
            </w:pPr>
            <w:r>
              <w:rPr>
                <w:rFonts w:hint="eastAsia" w:ascii="楷体_GB2312" w:eastAsia="楷体_GB2312"/>
                <w:b/>
                <w:bCs/>
                <w:color w:val="000000"/>
                <w:sz w:val="20"/>
                <w:szCs w:val="20"/>
              </w:rPr>
              <w:t>合计</w:t>
            </w:r>
          </w:p>
        </w:tc>
        <w:tc>
          <w:tcPr>
            <w:tcW w:w="993"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50152</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100.0%</w:t>
            </w:r>
          </w:p>
        </w:tc>
        <w:tc>
          <w:tcPr>
            <w:tcW w:w="851"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48507</w:t>
            </w:r>
          </w:p>
        </w:tc>
        <w:tc>
          <w:tcPr>
            <w:tcW w:w="850"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color w:val="000000"/>
                <w:sz w:val="20"/>
                <w:szCs w:val="20"/>
              </w:rPr>
            </w:pPr>
            <w:r>
              <w:rPr>
                <w:rFonts w:hint="eastAsia" w:ascii="楷体_GB2312" w:eastAsia="楷体_GB2312"/>
                <w:color w:val="000000"/>
                <w:sz w:val="20"/>
                <w:szCs w:val="20"/>
              </w:rPr>
              <w:t>100.0%</w:t>
            </w:r>
          </w:p>
        </w:tc>
        <w:tc>
          <w:tcPr>
            <w:tcW w:w="992"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1645</w:t>
            </w:r>
          </w:p>
        </w:tc>
        <w:tc>
          <w:tcPr>
            <w:tcW w:w="1134" w:type="dxa"/>
            <w:tcBorders>
              <w:top w:val="nil"/>
              <w:left w:val="nil"/>
              <w:bottom w:val="single" w:color="auto" w:sz="8" w:space="0"/>
              <w:right w:val="single" w:color="auto" w:sz="8" w:space="0"/>
            </w:tcBorders>
            <w:shd w:val="clear" w:color="auto" w:fill="auto"/>
            <w:vAlign w:val="center"/>
          </w:tcPr>
          <w:p>
            <w:pPr>
              <w:jc w:val="center"/>
              <w:rPr>
                <w:rFonts w:ascii="楷体_GB2312" w:hAnsi="宋体" w:eastAsia="楷体_GB2312" w:cs="宋体"/>
                <w:sz w:val="20"/>
                <w:szCs w:val="20"/>
              </w:rPr>
            </w:pPr>
            <w:r>
              <w:rPr>
                <w:rFonts w:hint="eastAsia" w:ascii="楷体_GB2312" w:eastAsia="楷体_GB2312"/>
                <w:sz w:val="20"/>
                <w:szCs w:val="20"/>
              </w:rPr>
              <w:t>3.4%</w:t>
            </w:r>
          </w:p>
        </w:tc>
      </w:tr>
    </w:tbl>
    <w:p>
      <w:pPr>
        <w:ind w:firstLine="640"/>
        <w:rPr>
          <w:rFonts w:ascii="仿宋_GB2312" w:hAnsi="仿宋" w:eastAsia="仿宋_GB2312" w:cs="仿宋"/>
          <w:sz w:val="32"/>
        </w:rPr>
      </w:pPr>
    </w:p>
    <w:p>
      <w:pPr>
        <w:ind w:firstLine="640"/>
        <w:rPr>
          <w:rFonts w:ascii="宋体" w:hAnsi="宋体" w:cs="宋体"/>
          <w:b/>
          <w:bCs/>
          <w:sz w:val="32"/>
          <w:szCs w:val="32"/>
        </w:rPr>
      </w:pPr>
      <w:r>
        <w:rPr>
          <w:rFonts w:hint="eastAsia" w:ascii="宋体" w:hAnsi="宋体" w:cs="宋体"/>
          <w:b/>
          <w:bCs/>
          <w:sz w:val="32"/>
          <w:szCs w:val="32"/>
        </w:rPr>
        <w:t>（三）一般公共预算支出完成情况</w:t>
      </w:r>
    </w:p>
    <w:p>
      <w:pPr>
        <w:ind w:firstLine="640"/>
        <w:rPr>
          <w:rFonts w:ascii="宋体" w:hAnsi="宋体" w:cs="宋体"/>
          <w:sz w:val="32"/>
        </w:rPr>
      </w:pPr>
      <w:r>
        <w:rPr>
          <w:rFonts w:hint="eastAsia" w:ascii="宋体" w:hAnsi="宋体" w:cs="宋体"/>
          <w:sz w:val="32"/>
        </w:rPr>
        <w:t>今年以来，财政部门在市委、市政府的正确领导下，认真落实积极的财政政策，加强支出预算执行管理，积极盘活财政存量，保障民生等重点支出需要。2020年一般公共预算支出297880万元，占调整预算98.8%,同比增长13.8%。</w:t>
      </w:r>
      <w:r>
        <w:rPr>
          <w:rFonts w:hint="eastAsia" w:ascii="宋体" w:hAnsi="宋体" w:cs="宋体"/>
          <w:sz w:val="32"/>
          <w:szCs w:val="32"/>
        </w:rPr>
        <w:t>从历年情况看，我市近五年支出规模保持逐年扩大的态势，实现了稳步增长。</w:t>
      </w:r>
    </w:p>
    <w:p>
      <w:pPr>
        <w:ind w:firstLine="643"/>
        <w:jc w:val="center"/>
      </w:pPr>
      <w:r>
        <w:pict>
          <v:shape id="_x0000_i1027" o:spt="75" type="#_x0000_t75" style="height:342pt;width:436.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">
            <v:path/>
            <v:fill on="f" focussize="0,0"/>
            <v:stroke on="f" joinstyle="miter"/>
            <v:imagedata r:id="rId8" o:title=""/>
            <o:lock v:ext="edit" aspectratio="f"/>
            <w10:wrap type="none"/>
            <w10:anchorlock/>
          </v:shape>
        </w:pict>
      </w:r>
    </w:p>
    <w:p>
      <w:pPr>
        <w:spacing w:line="600" w:lineRule="exact"/>
        <w:ind w:firstLine="643"/>
        <w:rPr>
          <w:rFonts w:ascii="宋体" w:hAnsi="宋体" w:cs="宋体"/>
          <w:sz w:val="32"/>
        </w:rPr>
      </w:pPr>
      <w:r>
        <w:rPr>
          <w:rFonts w:hint="eastAsia" w:ascii="宋体" w:hAnsi="宋体" w:cs="宋体"/>
          <w:sz w:val="32"/>
        </w:rPr>
        <w:t>主要项目的执行情况是：一般公共服务25971万元,占调整预算100%，与上年同期持平；公共安全支出9945万元，占调整预算100%,同比下降5.6%；教育支出64269万元,占调整预算99.5%,同比增长4.2%；科学技术支出1233万元，占调整预算100%，同比下降45.4%；文化旅游体育与传媒支出19153万元,占调整预算100%，同比增长156%；社会保障和就业36666万元,占调整预算100%,同比增长25.4%；卫生健康支出23863万元,占调整预算100%,同比增长26.9%;节能环保支出20163万元,占调整预算100%，同比增长36.3%；城乡社区支出23018万元,占调整预算94%，同比增长45%；农林水支出41482万元，占调整预算99.5%，同比增长11.2%；交通运输支出13509万元，占调整预算100%，同比增长1.4%；资源勘探信息等支出8580万元，占调整预算100%，同比下降42.1%；商业服务业等支出3403万元，占调整预算100%，同比增长367.4%；自然资源海洋气象等支出1484万元，占调整预算100%，同比增长52.2%；住房保障支出1121万元，占调整预算100%，同比下降12%；粮油物资储备支出969万元，占调整预算100%，同比增长48.8%；灾害防治及应急管理支出1086万元，占调整预算98.8%，同比下降32.7%；其他支出74万元，占调整预算4.4%；债务付息支出1875万元，占调整预算100%，同比增长49.9%</w:t>
      </w:r>
      <w:r>
        <w:rPr>
          <w:rFonts w:hint="eastAsia" w:ascii="宋体" w:hAnsi="宋体" w:cs="宋体"/>
          <w:sz w:val="32"/>
          <w:lang w:eastAsia="zh-CN"/>
        </w:rPr>
        <w:t>；债务发行费用支出</w:t>
      </w:r>
      <w:r>
        <w:rPr>
          <w:rFonts w:hint="eastAsia" w:ascii="宋体" w:hAnsi="宋体" w:cs="宋体"/>
          <w:sz w:val="32"/>
          <w:lang w:val="en-US" w:eastAsia="zh-CN"/>
        </w:rPr>
        <w:t>16万元，占调整预算100%</w:t>
      </w:r>
      <w:r>
        <w:rPr>
          <w:rFonts w:hint="eastAsia" w:ascii="宋体" w:hAnsi="宋体" w:cs="宋体"/>
          <w:sz w:val="32"/>
        </w:rPr>
        <w:t>。</w:t>
      </w:r>
    </w:p>
    <w:p>
      <w:pPr>
        <w:spacing w:line="600" w:lineRule="exact"/>
        <w:ind w:firstLine="643"/>
        <w:jc w:val="left"/>
        <w:rPr>
          <w:rFonts w:ascii="仿宋_GB2312" w:hAnsi="仿宋" w:eastAsia="仿宋_GB2312" w:cs="仿宋"/>
          <w:b/>
          <w:sz w:val="32"/>
        </w:rPr>
      </w:pPr>
      <w:r>
        <w:rPr>
          <w:rFonts w:hint="eastAsia" w:ascii="黑体" w:hAnsi="黑体" w:eastAsia="黑体" w:cs="黑体"/>
          <w:sz w:val="32"/>
        </w:rPr>
        <w:t>四、</w:t>
      </w:r>
      <w:r>
        <w:rPr>
          <w:rFonts w:hint="eastAsia" w:ascii="黑体" w:hAnsi="黑体" w:eastAsia="黑体" w:cs="仿宋"/>
          <w:sz w:val="32"/>
        </w:rPr>
        <w:t>规模以上工业企业入库税款情况</w:t>
      </w:r>
    </w:p>
    <w:p>
      <w:pPr>
        <w:spacing w:line="600" w:lineRule="exact"/>
        <w:ind w:firstLine="640"/>
        <w:rPr>
          <w:rFonts w:ascii="宋体" w:hAnsi="宋体" w:cs="宋体"/>
          <w:sz w:val="32"/>
        </w:rPr>
      </w:pPr>
      <w:r>
        <w:rPr>
          <w:rFonts w:hint="eastAsia" w:ascii="宋体" w:hAnsi="宋体" w:cs="宋体"/>
          <w:sz w:val="32"/>
        </w:rPr>
        <w:t>2020年我市规模以上工业企业共49家，其中机电行业企业26家，化工装备制造业企业1家，印染行业企业2家，铝加工业企业5家，热电行业企业3家，化工行业企业4家，农副产品加工业企业4家，其他企业4家。2020年上缴税金25523万元，占财政总收入的31.2%，比上年同期26534万元下降3.8%，减收1011万元。规模以上工业企业对财政收入起着重要的支撑作用。</w:t>
      </w:r>
    </w:p>
    <w:p>
      <w:pPr>
        <w:spacing w:line="600" w:lineRule="exact"/>
        <w:ind w:firstLine="640"/>
        <w:rPr>
          <w:rFonts w:ascii="宋体" w:hAnsi="宋体" w:cs="宋体"/>
          <w:b/>
          <w:bCs/>
          <w:sz w:val="32"/>
          <w:szCs w:val="32"/>
        </w:rPr>
      </w:pPr>
      <w:r>
        <w:rPr>
          <w:rFonts w:hint="eastAsia" w:ascii="宋体" w:hAnsi="宋体" w:cs="宋体"/>
          <w:b/>
          <w:bCs/>
          <w:sz w:val="32"/>
          <w:szCs w:val="32"/>
        </w:rPr>
        <w:t>（一）机电制造业</w:t>
      </w:r>
    </w:p>
    <w:p>
      <w:pPr>
        <w:spacing w:line="600" w:lineRule="exact"/>
        <w:ind w:firstLine="640"/>
        <w:rPr>
          <w:rFonts w:ascii="宋体" w:hAnsi="宋体" w:cs="宋体"/>
          <w:sz w:val="32"/>
        </w:rPr>
      </w:pPr>
      <w:r>
        <w:rPr>
          <w:rFonts w:hint="eastAsia" w:ascii="宋体" w:hAnsi="宋体" w:cs="宋体"/>
          <w:sz w:val="32"/>
        </w:rPr>
        <w:t>以中车永济电机有限公司为代表的26家机电</w:t>
      </w:r>
      <w:r>
        <w:rPr>
          <w:rFonts w:hint="eastAsia" w:ascii="宋体" w:hAnsi="宋体" w:cs="宋体"/>
          <w:sz w:val="32"/>
          <w:lang w:eastAsia="zh-CN"/>
        </w:rPr>
        <w:t>行业</w:t>
      </w:r>
      <w:r>
        <w:rPr>
          <w:rFonts w:hint="eastAsia" w:ascii="宋体" w:hAnsi="宋体" w:cs="宋体"/>
          <w:sz w:val="32"/>
        </w:rPr>
        <w:t>企业入库税款14563万元，同比下降25.3%，减收4924万元。主要企业情况如下：</w:t>
      </w:r>
    </w:p>
    <w:p>
      <w:pPr>
        <w:numPr>
          <w:numId w:val="0"/>
        </w:numPr>
        <w:spacing w:line="600" w:lineRule="exact"/>
        <w:ind w:firstLine="640" w:firstLineChars="200"/>
        <w:rPr>
          <w:rFonts w:hint="eastAsia" w:ascii="宋体" w:hAnsi="宋体" w:cs="宋体"/>
          <w:sz w:val="32"/>
        </w:rPr>
      </w:pPr>
      <w:r>
        <w:rPr>
          <w:rFonts w:hint="eastAsia" w:ascii="宋体" w:hAnsi="宋体" w:cs="宋体"/>
          <w:sz w:val="32"/>
        </w:rPr>
        <w:t>——中车永济电机有限公司。2020年实现销售收入40.9亿元，较同期38.8亿元增加2.1亿元。入库税款8031万元，较同期12540万元减收4509万元。税收减少的主要原因一是2016年以来国家铁路建设速度放缓，产品需求回升迟滞，行业景气度持续下降；二是市场竞争激烈，产品交付周期延长，增值空间减少，轨道交通市场主机公司要求每年价格下降2%，风电市场价与检修市场格战激烈，降幅明显；三是原材料价格持续上涨，采购成本上升，进项加大；四是国家鼓励企业创新发展，提档升级，减税降费力度加大；五是国际环境复杂，加之疫情影响，海外市场拓展迟缓。</w:t>
      </w:r>
    </w:p>
    <w:p>
      <w:pPr>
        <w:spacing w:line="600" w:lineRule="exact"/>
        <w:ind w:firstLine="640"/>
        <w:rPr>
          <w:rFonts w:hint="eastAsia" w:ascii="宋体" w:hAnsi="宋体" w:cs="宋体"/>
          <w:sz w:val="32"/>
        </w:rPr>
      </w:pPr>
      <w:r>
        <w:rPr>
          <w:rFonts w:hint="eastAsia" w:ascii="宋体" w:hAnsi="宋体" w:cs="宋体"/>
          <w:sz w:val="32"/>
        </w:rPr>
        <w:t>与中车永济电机相关联的企业入库税款情况：永济立达电气配件制造有限公司入库税款1302万元，同比下降22.2%，减收371万元；永济优耐特绝缘材料有限公司入库税款530万元，与上年同期持平；永济电机天作电气有限责任公司入库税款488万元，同比下降3.7%，减收19万元；永济中车电机电器修配有限公司入库税款227万元，同比下降51.7%，减收243万元；永济通用电机制造有限责任公司入库税款304万元，同比下降33.2%，减收151万元。</w:t>
      </w:r>
    </w:p>
    <w:p>
      <w:pPr>
        <w:spacing w:line="600" w:lineRule="exact"/>
        <w:ind w:firstLine="640"/>
        <w:rPr>
          <w:rFonts w:ascii="宋体" w:hAnsi="宋体" w:cs="宋体"/>
          <w:b/>
          <w:bCs/>
          <w:sz w:val="32"/>
          <w:szCs w:val="32"/>
        </w:rPr>
      </w:pPr>
      <w:r>
        <w:rPr>
          <w:rFonts w:hint="eastAsia" w:ascii="宋体" w:hAnsi="宋体" w:cs="宋体"/>
          <w:b/>
          <w:bCs/>
          <w:sz w:val="32"/>
          <w:szCs w:val="32"/>
        </w:rPr>
        <w:t>（二）化工装备制造业</w:t>
      </w:r>
    </w:p>
    <w:p>
      <w:pPr>
        <w:spacing w:line="600" w:lineRule="exact"/>
        <w:ind w:firstLine="640"/>
        <w:rPr>
          <w:rFonts w:ascii="宋体" w:hAnsi="宋体" w:cs="宋体"/>
          <w:sz w:val="32"/>
        </w:rPr>
      </w:pPr>
      <w:r>
        <w:rPr>
          <w:rFonts w:hint="eastAsia" w:ascii="宋体" w:hAnsi="宋体" w:cs="宋体"/>
          <w:sz w:val="32"/>
        </w:rPr>
        <w:t>化工装备制造业企业1家， 丰喜化工设备有限公司。</w:t>
      </w:r>
    </w:p>
    <w:p>
      <w:pPr>
        <w:spacing w:line="600" w:lineRule="exact"/>
        <w:ind w:firstLine="640"/>
        <w:rPr>
          <w:rFonts w:hint="eastAsia" w:ascii="宋体" w:hAnsi="宋体" w:cs="宋体"/>
          <w:sz w:val="32"/>
        </w:rPr>
      </w:pPr>
      <w:r>
        <w:rPr>
          <w:rFonts w:hint="eastAsia" w:ascii="宋体" w:hAnsi="宋体" w:cs="宋体"/>
          <w:sz w:val="32"/>
        </w:rPr>
        <w:t>——山西丰喜化工设备有限公司。2020年累计实现销售收入4.8亿元，较同期4.98万元减少0.18亿元。入库税款1241万元，较同期1024万元</w:t>
      </w:r>
      <w:r>
        <w:rPr>
          <w:rFonts w:hint="eastAsia" w:ascii="宋体" w:hAnsi="宋体" w:cs="宋体"/>
          <w:sz w:val="32"/>
          <w:lang w:eastAsia="zh-CN"/>
        </w:rPr>
        <w:t>增</w:t>
      </w:r>
      <w:r>
        <w:rPr>
          <w:rFonts w:hint="eastAsia" w:ascii="宋体" w:hAnsi="宋体" w:cs="宋体"/>
          <w:sz w:val="32"/>
        </w:rPr>
        <w:t>收217万元。</w:t>
      </w:r>
    </w:p>
    <w:p>
      <w:pPr>
        <w:spacing w:line="600" w:lineRule="exact"/>
        <w:ind w:firstLine="640"/>
        <w:rPr>
          <w:rFonts w:ascii="宋体" w:hAnsi="宋体" w:cs="宋体"/>
          <w:sz w:val="32"/>
        </w:rPr>
      </w:pPr>
      <w:r>
        <w:rPr>
          <w:rFonts w:hint="eastAsia" w:ascii="宋体" w:hAnsi="宋体" w:cs="宋体"/>
          <w:b/>
          <w:bCs/>
          <w:sz w:val="32"/>
          <w:szCs w:val="32"/>
        </w:rPr>
        <w:t>（三）铝加工业</w:t>
      </w:r>
    </w:p>
    <w:p>
      <w:pPr>
        <w:spacing w:line="600" w:lineRule="exact"/>
        <w:ind w:firstLine="640"/>
        <w:rPr>
          <w:rFonts w:ascii="宋体" w:hAnsi="宋体" w:cs="宋体"/>
          <w:sz w:val="32"/>
        </w:rPr>
      </w:pPr>
      <w:r>
        <w:rPr>
          <w:rFonts w:hint="eastAsia" w:ascii="宋体" w:hAnsi="宋体" w:cs="宋体"/>
          <w:sz w:val="32"/>
        </w:rPr>
        <w:t>以华圣铝业为代表的5家铝加工企业，入库税款7114万元，同比增长115.2%，增收3808万元。主要企业情况如下：</w:t>
      </w:r>
    </w:p>
    <w:p>
      <w:pPr>
        <w:spacing w:line="600" w:lineRule="exact"/>
        <w:ind w:firstLine="640"/>
        <w:rPr>
          <w:rFonts w:hint="eastAsia" w:ascii="宋体" w:hAnsi="宋体" w:cs="宋体"/>
          <w:sz w:val="32"/>
        </w:rPr>
      </w:pPr>
      <w:r>
        <w:rPr>
          <w:rFonts w:hint="eastAsia" w:ascii="宋体" w:hAnsi="宋体" w:cs="宋体"/>
          <w:sz w:val="32"/>
        </w:rPr>
        <w:t>——山西华圣铝业有限公司。2020年实现销售收入9.26亿元，较同期11.38亿减少2.12亿元。入库税款6294万元，较同期2406万元增收3888万元。入库税款增加原因是2019年华圣铝业停产后，2020年元月份无形资产（产能转移）一次性收入8.5亿元，入库增值税5134万元。</w:t>
      </w:r>
    </w:p>
    <w:p>
      <w:pPr>
        <w:spacing w:line="600" w:lineRule="exact"/>
        <w:ind w:firstLine="640"/>
        <w:rPr>
          <w:rFonts w:ascii="宋体" w:hAnsi="宋体" w:cs="宋体"/>
          <w:sz w:val="32"/>
        </w:rPr>
      </w:pPr>
      <w:r>
        <w:rPr>
          <w:rFonts w:hint="eastAsia" w:ascii="宋体" w:hAnsi="宋体" w:cs="宋体"/>
          <w:sz w:val="32"/>
        </w:rPr>
        <w:t>山西阳煤千军汽车部件有限责任公司入库税款291万元，同比增长27.6 %，增收63万元；山西海丰铝业有限公司入库税款283万元，同比下降28.2%，减收111万元；永济市华茂铸造有限公司入库税款165万元，与同期基本持平。</w:t>
      </w:r>
    </w:p>
    <w:p>
      <w:pPr>
        <w:spacing w:line="600" w:lineRule="exact"/>
        <w:ind w:firstLine="640"/>
        <w:rPr>
          <w:rFonts w:ascii="宋体" w:hAnsi="宋体" w:cs="宋体"/>
          <w:b/>
          <w:bCs/>
          <w:sz w:val="32"/>
          <w:szCs w:val="32"/>
        </w:rPr>
      </w:pPr>
      <w:r>
        <w:rPr>
          <w:rFonts w:hint="eastAsia" w:ascii="宋体" w:hAnsi="宋体" w:cs="宋体"/>
          <w:b/>
          <w:bCs/>
          <w:sz w:val="32"/>
          <w:szCs w:val="32"/>
        </w:rPr>
        <w:t>（四）热电行业</w:t>
      </w:r>
    </w:p>
    <w:p>
      <w:pPr>
        <w:spacing w:line="600" w:lineRule="exact"/>
        <w:ind w:firstLine="640"/>
        <w:rPr>
          <w:rFonts w:ascii="宋体" w:hAnsi="宋体" w:cs="宋体"/>
          <w:sz w:val="32"/>
        </w:rPr>
      </w:pPr>
      <w:r>
        <w:rPr>
          <w:rFonts w:hint="eastAsia" w:ascii="宋体" w:hAnsi="宋体" w:cs="宋体"/>
          <w:sz w:val="32"/>
          <w:lang w:eastAsia="zh-CN"/>
        </w:rPr>
        <w:t>热电</w:t>
      </w:r>
      <w:r>
        <w:rPr>
          <w:rFonts w:hint="eastAsia" w:ascii="宋体" w:hAnsi="宋体" w:cs="宋体"/>
          <w:sz w:val="32"/>
        </w:rPr>
        <w:t>行业的3家规上企业入库税款650万元，与上年同期基本持平。</w:t>
      </w:r>
    </w:p>
    <w:p>
      <w:pPr>
        <w:spacing w:line="600" w:lineRule="exact"/>
        <w:ind w:firstLine="640"/>
        <w:rPr>
          <w:rFonts w:hint="eastAsia" w:ascii="宋体" w:hAnsi="宋体" w:cs="宋体"/>
          <w:sz w:val="32"/>
        </w:rPr>
      </w:pPr>
      <w:r>
        <w:rPr>
          <w:rFonts w:hint="eastAsia" w:ascii="宋体" w:hAnsi="宋体" w:cs="宋体"/>
          <w:sz w:val="32"/>
        </w:rPr>
        <w:t>——蒲洲热电有限公司入库税款289万元，同比下降18.4%，减收65万元。企业自2013年12月成立后，由于有大额留抵税款，一直未实现增值税，近几年年均入库其他税收300万元左右。</w:t>
      </w:r>
    </w:p>
    <w:p>
      <w:pPr>
        <w:spacing w:line="600" w:lineRule="exact"/>
        <w:ind w:firstLine="640"/>
        <w:rPr>
          <w:rFonts w:ascii="宋体" w:hAnsi="宋体" w:cs="宋体"/>
          <w:sz w:val="32"/>
          <w:highlight w:val="yellow"/>
        </w:rPr>
      </w:pPr>
      <w:r>
        <w:rPr>
          <w:rFonts w:hint="eastAsia" w:ascii="宋体" w:hAnsi="宋体" w:cs="宋体"/>
          <w:sz w:val="32"/>
        </w:rPr>
        <w:t>永济市民生天然气有限公司入库税款355万元，同比增长21.6 %，增收63万元。</w:t>
      </w:r>
    </w:p>
    <w:p>
      <w:pPr>
        <w:spacing w:line="600" w:lineRule="exact"/>
        <w:ind w:firstLine="640"/>
        <w:rPr>
          <w:rFonts w:ascii="宋体" w:hAnsi="宋体" w:cs="宋体"/>
          <w:b/>
          <w:bCs/>
          <w:sz w:val="32"/>
          <w:szCs w:val="32"/>
        </w:rPr>
      </w:pPr>
      <w:r>
        <w:rPr>
          <w:rFonts w:hint="eastAsia" w:ascii="宋体" w:hAnsi="宋体" w:cs="宋体"/>
          <w:b/>
          <w:bCs/>
          <w:sz w:val="32"/>
          <w:szCs w:val="32"/>
        </w:rPr>
        <w:t>（五）农副产品加工业</w:t>
      </w:r>
    </w:p>
    <w:p>
      <w:pPr>
        <w:spacing w:line="600" w:lineRule="exact"/>
        <w:ind w:firstLine="640"/>
        <w:rPr>
          <w:rFonts w:ascii="宋体" w:hAnsi="宋体" w:cs="宋体"/>
          <w:sz w:val="32"/>
        </w:rPr>
      </w:pPr>
      <w:r>
        <w:rPr>
          <w:rFonts w:hint="eastAsia" w:ascii="宋体" w:hAnsi="宋体" w:cs="宋体"/>
          <w:sz w:val="32"/>
        </w:rPr>
        <w:t>4家农副产品加工企业，入库税款903万元，同比下降5.9%，减收57万元。由于农副产品加工业享受国家税收优惠政策， 整个行业虽然产值较大，但入库税款比重小。</w:t>
      </w:r>
    </w:p>
    <w:p>
      <w:pPr>
        <w:spacing w:line="600" w:lineRule="exact"/>
        <w:ind w:firstLine="640"/>
        <w:rPr>
          <w:rFonts w:ascii="宋体" w:hAnsi="宋体" w:cs="宋体"/>
          <w:sz w:val="32"/>
        </w:rPr>
      </w:pPr>
      <w:r>
        <w:rPr>
          <w:rFonts w:hint="eastAsia" w:ascii="宋体" w:hAnsi="宋体" w:cs="宋体"/>
          <w:sz w:val="32"/>
        </w:rPr>
        <w:t>——永济安德利果蔬汁有限公司。2020年实现销售收入2.44亿元，较上年同期1.33亿元增加1.11亿元。入库税款892万元，</w:t>
      </w:r>
      <w:r>
        <w:rPr>
          <w:rFonts w:hint="eastAsia" w:ascii="宋体" w:hAnsi="宋体" w:cs="宋体"/>
          <w:sz w:val="32"/>
          <w:lang w:eastAsia="zh-CN"/>
        </w:rPr>
        <w:t>与上年同期持平</w:t>
      </w:r>
      <w:bookmarkStart w:id="1" w:name="_GoBack"/>
      <w:bookmarkEnd w:id="1"/>
      <w:r>
        <w:rPr>
          <w:rFonts w:hint="eastAsia" w:ascii="宋体" w:hAnsi="宋体" w:cs="宋体"/>
          <w:sz w:val="32"/>
        </w:rPr>
        <w:t>。</w:t>
      </w:r>
    </w:p>
    <w:p>
      <w:pPr>
        <w:spacing w:line="600" w:lineRule="exact"/>
        <w:ind w:firstLine="640"/>
        <w:rPr>
          <w:rFonts w:ascii="黑体" w:hAnsi="黑体" w:eastAsia="黑体" w:cs="黑体"/>
          <w:sz w:val="32"/>
        </w:rPr>
      </w:pPr>
      <w:r>
        <w:rPr>
          <w:rFonts w:hint="eastAsia" w:ascii="黑体" w:hAnsi="黑体" w:eastAsia="黑体" w:cs="黑体"/>
          <w:sz w:val="32"/>
        </w:rPr>
        <w:t>五、政府性基金预算收支情况</w:t>
      </w:r>
    </w:p>
    <w:p>
      <w:pPr>
        <w:spacing w:line="600" w:lineRule="exact"/>
        <w:ind w:firstLine="640" w:firstLineChars="200"/>
        <w:rPr>
          <w:rFonts w:ascii="宋体" w:hAnsi="宋体" w:cs="宋体"/>
          <w:sz w:val="32"/>
        </w:rPr>
      </w:pPr>
      <w:r>
        <w:rPr>
          <w:rFonts w:hint="eastAsia" w:ascii="宋体" w:hAnsi="宋体" w:cs="宋体"/>
          <w:sz w:val="32"/>
        </w:rPr>
        <w:t>2020年政府性基金收入完成43082万元，占年度23800万元的预算181%，同比增长11%，增收4261万元。其中：国有土地收益基金收入4229万元，占预算211.5%，同比增长7.3%；农业土地开发资金收入597万元，占预算298.5%，同比增长127%；国有土地使用权出让收入34734万元,占预算173.7%，同比增长6.3%；城市基础设施配套费收入2867万元，占预算286.7%，同比增长114.9%；污水处理费收入655万元，占预算109.2%，同比增长5.8%。</w:t>
      </w:r>
    </w:p>
    <w:p>
      <w:pPr>
        <w:spacing w:line="600" w:lineRule="exact"/>
        <w:ind w:firstLine="640" w:firstLineChars="200"/>
        <w:rPr>
          <w:rFonts w:ascii="宋体" w:hAnsi="宋体" w:cs="宋体"/>
          <w:sz w:val="32"/>
        </w:rPr>
      </w:pPr>
      <w:r>
        <w:rPr>
          <w:rFonts w:hint="eastAsia" w:ascii="宋体" w:hAnsi="宋体" w:cs="宋体"/>
          <w:sz w:val="32"/>
        </w:rPr>
        <w:t>2020年政府性基金预算支出46616万元，占调整预算78.5%，同比增长114.3%，增支24861万元。主要支出项目是：文化旅游与体育传媒支出49万元，同比下降86.6%；社会保障和就业支出2050万元，同比下降29.1%；城乡社区支出28393万元，同比增长128.7%，（其中：国有土地使用权出让收入安排的支出23072万元，同比增长150%；国有土地收益基金支出3162万元，同比增长201.4 %；农业土地开发资金支出148万元，同比增长97.3%；城市基础设施配套费支出1284万元，同比下降9.9%；污水处理费支出727万元，同比增长14.5%）；其他支出9471万元，同比增长107%；债务付息支出1643万元，同比增长9%；抗疫特别国债安排的支出5000万元。</w:t>
      </w:r>
    </w:p>
    <w:p>
      <w:pPr>
        <w:spacing w:line="600" w:lineRule="exact"/>
        <w:ind w:firstLine="640" w:firstLineChars="200"/>
        <w:rPr>
          <w:rFonts w:ascii="黑体" w:hAnsi="黑体" w:eastAsia="黑体" w:cs="黑体"/>
          <w:sz w:val="32"/>
        </w:rPr>
      </w:pPr>
      <w:r>
        <w:rPr>
          <w:rFonts w:hint="eastAsia" w:ascii="黑体" w:hAnsi="黑体" w:eastAsia="黑体" w:cs="黑体"/>
          <w:sz w:val="32"/>
        </w:rPr>
        <w:t>六、国有资本经营情况</w:t>
      </w:r>
    </w:p>
    <w:p>
      <w:pPr>
        <w:spacing w:line="600" w:lineRule="exact"/>
        <w:ind w:firstLine="640" w:firstLineChars="200"/>
        <w:rPr>
          <w:rFonts w:hint="eastAsia" w:ascii="宋体" w:hAnsi="宋体" w:cs="宋体"/>
          <w:sz w:val="32"/>
        </w:rPr>
      </w:pPr>
      <w:r>
        <w:rPr>
          <w:rFonts w:hint="eastAsia" w:ascii="宋体" w:hAnsi="宋体" w:cs="宋体"/>
          <w:sz w:val="32"/>
        </w:rPr>
        <w:t>2020年国有资本经营上年结转2万元，上级补助收入1564万元，国有资本收益6万元，支出1569万元，调入一般公共预算3万元，无结转资金。2020年末，我市由政府相关职能部门代表市政府投资形成具有国有资本且正常运营的企业共16户，其中</w:t>
      </w:r>
      <w:r>
        <w:rPr>
          <w:rFonts w:hint="eastAsia" w:ascii="宋体" w:hAnsi="宋体" w:cs="宋体"/>
          <w:b/>
          <w:bCs/>
          <w:sz w:val="32"/>
        </w:rPr>
        <w:t>盈利企业4户</w:t>
      </w:r>
      <w:r>
        <w:rPr>
          <w:rFonts w:hint="eastAsia" w:ascii="宋体" w:hAnsi="宋体" w:cs="宋体"/>
          <w:sz w:val="32"/>
        </w:rPr>
        <w:t>，盈利额80.73万元。主要是：粟济储备粮有限公司0.12万元，诚科建筑检测有限公司16.63万元,市政工程公司56.41万元，广播电视网络传输有限公司7.57万元;</w:t>
      </w:r>
      <w:r>
        <w:rPr>
          <w:rFonts w:hint="eastAsia" w:ascii="宋体" w:hAnsi="宋体" w:cs="宋体"/>
          <w:b/>
          <w:bCs/>
          <w:sz w:val="32"/>
        </w:rPr>
        <w:t>零利润企业2户</w:t>
      </w:r>
      <w:r>
        <w:rPr>
          <w:rFonts w:hint="eastAsia" w:ascii="宋体" w:hAnsi="宋体" w:cs="宋体"/>
          <w:sz w:val="32"/>
        </w:rPr>
        <w:t>，主要是：供水服务中心和供水开发中心；</w:t>
      </w:r>
      <w:r>
        <w:rPr>
          <w:rFonts w:hint="eastAsia" w:ascii="宋体" w:hAnsi="宋体" w:cs="宋体"/>
          <w:b/>
          <w:bCs/>
          <w:sz w:val="32"/>
        </w:rPr>
        <w:t>亏损企业10户</w:t>
      </w:r>
      <w:r>
        <w:rPr>
          <w:rFonts w:hint="eastAsia" w:ascii="宋体" w:hAnsi="宋体" w:cs="宋体"/>
          <w:sz w:val="32"/>
        </w:rPr>
        <w:t>，亏损额2497.57万元，主要是：商业总公司-0.06万元，百货大楼有限公司-214.5万元,军粮供应有限公司-0.33万元,房地产开发有限公司-67.33万元，鹳雀楼旅游集团有限公司-459.38万元，鹳雀楼集团永济五老峰旅游有限公司-366.48万元，普救寺旅游有限公司-791.24万元，蒲坂经济建设开发有限公司-367.67万元，供热服务中心-35.78万元,经济技术开发区实业发展有限责任公司-194.8万元。</w:t>
      </w:r>
    </w:p>
    <w:p>
      <w:pPr>
        <w:spacing w:line="600" w:lineRule="exact"/>
        <w:ind w:firstLine="800" w:firstLineChars="250"/>
        <w:rPr>
          <w:rFonts w:ascii="黑体" w:hAnsi="黑体" w:eastAsia="黑体"/>
          <w:sz w:val="32"/>
          <w:szCs w:val="32"/>
        </w:rPr>
      </w:pPr>
      <w:r>
        <w:rPr>
          <w:rFonts w:hint="eastAsia" w:ascii="黑体" w:hAnsi="黑体" w:eastAsia="黑体"/>
          <w:sz w:val="32"/>
          <w:szCs w:val="32"/>
        </w:rPr>
        <w:t>七、2020年主要工作情况</w:t>
      </w:r>
    </w:p>
    <w:p>
      <w:pPr>
        <w:spacing w:line="600" w:lineRule="exact"/>
        <w:ind w:firstLine="803" w:firstLineChars="250"/>
        <w:rPr>
          <w:rFonts w:ascii="宋体" w:hAnsi="宋体" w:cs="宋体"/>
          <w:sz w:val="32"/>
        </w:rPr>
      </w:pPr>
      <w:r>
        <w:rPr>
          <w:rFonts w:hint="eastAsia" w:ascii="宋体" w:hAnsi="宋体" w:cs="宋体"/>
          <w:b/>
          <w:bCs/>
          <w:sz w:val="32"/>
          <w:szCs w:val="32"/>
        </w:rPr>
        <w:t>1、把握机遇,积极向上级争取资金和政策支持。</w:t>
      </w:r>
      <w:r>
        <w:rPr>
          <w:rFonts w:hint="eastAsia" w:ascii="宋体" w:hAnsi="宋体" w:cs="宋体"/>
          <w:bCs/>
          <w:sz w:val="32"/>
        </w:rPr>
        <w:t>一是</w:t>
      </w:r>
      <w:r>
        <w:rPr>
          <w:rFonts w:hint="eastAsia" w:ascii="宋体" w:hAnsi="宋体" w:cs="宋体"/>
          <w:sz w:val="32"/>
        </w:rPr>
        <w:t>向省厅汇报疫情及减税降费政策的影响，反映财政存在的困难和问题，得到省财政厅对我市的大力支持。今年均衡性转移支付88601万元，比上年增加9019万元；县级基本财力保障机制奖补资金16175万元，比上年增加1207万元；特殊转移支付资金16060万元；新增政府债券资金24000万元，抗疫特别国债5000万元，财力紧张的局面得到了缓解，较好的支持我市经济发展。</w:t>
      </w:r>
    </w:p>
    <w:p>
      <w:pPr>
        <w:spacing w:line="600" w:lineRule="exact"/>
        <w:ind w:firstLine="640"/>
        <w:rPr>
          <w:rFonts w:ascii="宋体" w:hAnsi="宋体" w:cs="宋体"/>
          <w:bCs/>
          <w:sz w:val="32"/>
        </w:rPr>
      </w:pPr>
      <w:r>
        <w:rPr>
          <w:rFonts w:hint="eastAsia" w:ascii="宋体" w:hAnsi="宋体" w:cs="宋体"/>
          <w:b/>
          <w:bCs/>
          <w:sz w:val="32"/>
          <w:szCs w:val="32"/>
        </w:rPr>
        <w:t>2、服务“三农”，</w:t>
      </w:r>
      <w:r>
        <w:rPr>
          <w:rFonts w:hint="eastAsia" w:ascii="宋体" w:hAnsi="宋体" w:cs="宋体"/>
          <w:b/>
          <w:sz w:val="32"/>
          <w:szCs w:val="32"/>
        </w:rPr>
        <w:t>支持推进乡村振兴战略。</w:t>
      </w:r>
      <w:r>
        <w:rPr>
          <w:rFonts w:hint="eastAsia" w:ascii="宋体" w:hAnsi="宋体" w:cs="宋体"/>
          <w:sz w:val="32"/>
          <w:szCs w:val="32"/>
        </w:rPr>
        <w:t>优先发展农业农村，全面推进乡村振兴。全年农林水支出达41482万元，其中：一事一议财政奖补资金1656万元，省级美丽乡村示范村资金200万元，乡村环境治理资金938万元，村庄绿化900万元，争取上级财政专项扶贫资金976万元，本级配套150万元，促进贫困户产业发展及生活条件的改善，推进农村公益事业及基础设施、乡村环境整治、美丽乡村建设等项目发展，让乡村更美更宜居。</w:t>
      </w:r>
    </w:p>
    <w:p>
      <w:pPr>
        <w:spacing w:line="600" w:lineRule="exact"/>
        <w:ind w:firstLine="640"/>
        <w:rPr>
          <w:rFonts w:ascii="宋体" w:hAnsi="宋体" w:cs="宋体"/>
          <w:sz w:val="32"/>
        </w:rPr>
      </w:pPr>
      <w:r>
        <w:rPr>
          <w:rFonts w:hint="eastAsia" w:ascii="宋体" w:hAnsi="宋体" w:cs="宋体"/>
          <w:b/>
          <w:bCs/>
          <w:sz w:val="32"/>
        </w:rPr>
        <w:t>3、保障民生，做好民生保障增进民生福祉。</w:t>
      </w:r>
      <w:r>
        <w:rPr>
          <w:rFonts w:hint="eastAsia" w:ascii="宋体" w:hAnsi="宋体" w:cs="宋体"/>
          <w:sz w:val="32"/>
        </w:rPr>
        <w:t>一是优先保证个人部分支出，全年个人部分达到10.5亿元，比上年增长5.5%。二是继续加大教育投入。深化教育改革，促进教育公平，完善教育经费保障机制，全年教育投入达64269万元，其中学校校园环境提升改造项目2000余万元，智慧教育二期工程项目款1155.9万元，柳宗园小学及幼儿园建设项目1100万元，化解高中债务800万元；三是加强医疗卫生及社会保障。落实基本公共卫生服务经费及各项补助提标到位，积极筹措疫情防控资金，全年拨付疫情防控资金1414.13万元，做好防控经费保障工作，提升疫情防控能力；四是注重保障群众精神文化追求，抓好全面健身设施建设，完善基层文化服务体系，全年文旅体育及传媒投入达19153万元。五是支持全域旅游创建工作。制定了《推进全市全域旅游发展工作方案》，全年拨付旅游发展类资金1078万元。六是继续加大三基建设投入。主要用于“两委”主干报酬、乡镇机关基础设施均等化及提高乡镇工作补贴等。不断增进民生福祉，让群众更多更好地共享改革发展的成果。</w:t>
      </w:r>
    </w:p>
    <w:p>
      <w:pPr>
        <w:spacing w:line="600" w:lineRule="exact"/>
        <w:ind w:firstLine="640"/>
        <w:rPr>
          <w:rFonts w:ascii="宋体" w:hAnsi="宋体" w:cs="宋体"/>
          <w:sz w:val="32"/>
        </w:rPr>
      </w:pPr>
      <w:r>
        <w:rPr>
          <w:rFonts w:hint="eastAsia" w:ascii="宋体" w:hAnsi="宋体" w:cs="宋体"/>
          <w:b/>
          <w:sz w:val="32"/>
        </w:rPr>
        <w:t>4、</w:t>
      </w:r>
      <w:r>
        <w:rPr>
          <w:rFonts w:hint="eastAsia" w:ascii="宋体" w:hAnsi="宋体" w:cs="宋体"/>
          <w:b/>
          <w:bCs/>
          <w:sz w:val="32"/>
        </w:rPr>
        <w:t>创新投入方式，促进经济发展。</w:t>
      </w:r>
      <w:r>
        <w:rPr>
          <w:rFonts w:hint="eastAsia" w:ascii="宋体" w:hAnsi="宋体" w:cs="宋体"/>
          <w:sz w:val="32"/>
        </w:rPr>
        <w:t>积极创新财政投入方式和财政管理方式，更好地推进全市经济发展。一是申请拨付财政专项补助资金4351万元，为我市农业经济、“三供一业”、企业扶持提供财力支撑；二是设立产业引导基金，注册成立了基金公司，已向山西长荣农业科技股份有限公司投资2000万元，向山西穿越光电科技有限责任公司投资1000万元；三是创新财政担保方式，改进信贷担保业务流程，取得了显著成效。2020年担保贷款24户，担保额728万元，为我市农业适度规模经济发展提供了资金保证。出资1500万元参与了运城市政府性融资担保体系的组建，投入运营后可为我市中小微企业提供融资担保，解决融资困难问题；四是聘请多名专家组建“企业体检医院”，创建咨询微信群，组织专题培训会,印制《企业管理需求统计表》，并对13家企业进行走访调研，出具企业体检诊断报告,提升企业经营管理水平。</w:t>
      </w:r>
    </w:p>
    <w:p>
      <w:pPr>
        <w:spacing w:line="600" w:lineRule="exact"/>
        <w:ind w:firstLine="643" w:firstLineChars="200"/>
        <w:rPr>
          <w:rFonts w:hint="eastAsia" w:ascii="宋体" w:hAnsi="宋体" w:cs="宋体"/>
          <w:sz w:val="30"/>
          <w:szCs w:val="30"/>
        </w:rPr>
      </w:pPr>
      <w:r>
        <w:rPr>
          <w:rFonts w:hint="eastAsia" w:ascii="宋体" w:hAnsi="宋体" w:cs="宋体"/>
          <w:b/>
          <w:sz w:val="32"/>
        </w:rPr>
        <w:t>5、</w:t>
      </w:r>
      <w:r>
        <w:rPr>
          <w:rFonts w:hint="eastAsia" w:ascii="宋体" w:hAnsi="宋体" w:cs="宋体"/>
          <w:b/>
          <w:bCs/>
          <w:sz w:val="30"/>
          <w:szCs w:val="30"/>
        </w:rPr>
        <w:t>强化财政职能，提升财政管理水平。</w:t>
      </w:r>
      <w:r>
        <w:rPr>
          <w:rFonts w:hint="eastAsia" w:ascii="宋体" w:hAnsi="宋体" w:cs="宋体"/>
          <w:sz w:val="30"/>
          <w:szCs w:val="30"/>
        </w:rPr>
        <w:t>一是完善政府采购预算编制，强化政府采购监督。完成政府采购备案手续1083笔，采购资金132170.8万元，节约资金2421.4万元，二是全面加强财政性投资项目管理，进一步提高评审质量。全年评审项目186个，其中预算评审项目174个，决算评审项目12个，送审12.65亿元，审定10.47亿元，审减2.18亿元，综合审减率17.23%。三是扩大预算绩效目标管理范围，推进财政重点绩效评价，全面实施绩效管理。我市纳入目标管理的项目共217个，金额约10亿元。财政重点绩效项目15个，涉及资金约4.2亿元。四是加强国有资产管理。行政事业单位实际新增资产893.07万元，处置报废资产1713.20万元，调拨资产7713.11 万元，上缴资产处置收入41万元。五是落实减税降费政策，减免4828万元 。其中：减免企业税款4684万元，疫情防控期间减免租金128万元，城市道路占道费及其他减免16万元；六是建立直达资金机制，加快财政资金拨付使用效率。全年收到上级下达直达资金28484.79万元，分配率100%。已支出27034.38万元，支出进度94.9%。七是继续加强“三公”管理，压减一般性支出。全年“三公”经费支出646万元，比上年减少2万元。</w:t>
      </w:r>
    </w:p>
    <w:p>
      <w:pPr>
        <w:spacing w:line="600" w:lineRule="exact"/>
        <w:ind w:firstLine="640"/>
        <w:rPr>
          <w:rFonts w:ascii="宋体" w:hAnsi="宋体" w:cs="宋体"/>
          <w:sz w:val="32"/>
        </w:rPr>
      </w:pPr>
      <w:r>
        <w:rPr>
          <w:rFonts w:hint="eastAsia" w:ascii="宋体" w:hAnsi="宋体" w:cs="宋体"/>
          <w:sz w:val="30"/>
          <w:szCs w:val="30"/>
        </w:rPr>
        <w:t>6、</w:t>
      </w:r>
      <w:r>
        <w:rPr>
          <w:rFonts w:hint="eastAsia" w:ascii="宋体" w:hAnsi="宋体" w:cs="宋体"/>
          <w:b/>
          <w:bCs/>
          <w:sz w:val="32"/>
        </w:rPr>
        <w:t>加强地方政府债务及财政暂付款管理。</w:t>
      </w:r>
      <w:r>
        <w:rPr>
          <w:rFonts w:hint="eastAsia" w:ascii="宋体" w:hAnsi="宋体" w:cs="宋体"/>
          <w:sz w:val="32"/>
        </w:rPr>
        <w:t>我市政府性债务余额11.13亿元，未超政府债务限额11.98亿元。按期偿还到期的政府性债务利息，今年偿还地方政府债券本金8500万元，利息3518万元，合计12018万元。</w:t>
      </w:r>
      <w:r>
        <w:rPr>
          <w:rFonts w:hint="eastAsia" w:ascii="宋体" w:hAnsi="宋体" w:cs="宋体"/>
          <w:bCs/>
          <w:sz w:val="32"/>
        </w:rPr>
        <w:t>一是</w:t>
      </w:r>
      <w:r>
        <w:rPr>
          <w:rFonts w:hint="eastAsia" w:ascii="宋体" w:hAnsi="宋体" w:cs="宋体"/>
          <w:sz w:val="32"/>
        </w:rPr>
        <w:t>强化政府性债务管理，防范化解政府债务风险，强化底线思维，坚决遏制隐性债务增量，加强违法违规举债的责任追究；二是实施政府债务及隐性债务监测月报制度，定期排查风险，加强债务率风险监控；三是加强对财政暂付款的管理，根据分年度化解计划，及时清理财政暂付款项，消化暂付款4449万元。</w:t>
      </w:r>
    </w:p>
    <w:p>
      <w:pPr>
        <w:spacing w:line="600" w:lineRule="exact"/>
        <w:ind w:firstLine="640"/>
        <w:rPr>
          <w:rFonts w:ascii="黑体" w:hAnsi="黑体" w:eastAsia="黑体" w:cs="黑体"/>
          <w:sz w:val="32"/>
        </w:rPr>
      </w:pPr>
      <w:r>
        <w:rPr>
          <w:rFonts w:hint="eastAsia" w:ascii="黑体" w:hAnsi="黑体" w:eastAsia="黑体" w:cs="黑体"/>
          <w:sz w:val="32"/>
        </w:rPr>
        <w:t>八、财政供养人员情况</w:t>
      </w:r>
    </w:p>
    <w:p>
      <w:pPr>
        <w:spacing w:line="600" w:lineRule="exact"/>
        <w:ind w:firstLine="640" w:firstLineChars="200"/>
        <w:rPr>
          <w:rFonts w:ascii="宋体" w:hAnsi="宋体" w:cs="宋体"/>
          <w:sz w:val="32"/>
        </w:rPr>
      </w:pPr>
      <w:r>
        <w:rPr>
          <w:rFonts w:ascii="宋体" w:hAnsi="宋体" w:cs="宋体"/>
          <w:sz w:val="32"/>
        </w:rPr>
        <w:t>2020</w:t>
      </w:r>
      <w:r>
        <w:rPr>
          <w:rFonts w:hint="eastAsia" w:ascii="宋体" w:hAnsi="宋体" w:cs="宋体"/>
          <w:sz w:val="32"/>
        </w:rPr>
        <w:t>年财政供养人员为</w:t>
      </w:r>
      <w:r>
        <w:rPr>
          <w:rFonts w:ascii="宋体" w:hAnsi="宋体" w:cs="宋体"/>
          <w:sz w:val="32"/>
        </w:rPr>
        <w:t>9799</w:t>
      </w:r>
      <w:r>
        <w:rPr>
          <w:rFonts w:hint="eastAsia" w:ascii="宋体" w:hAnsi="宋体" w:cs="宋体"/>
          <w:sz w:val="32"/>
        </w:rPr>
        <w:t>人，比上年</w:t>
      </w:r>
      <w:r>
        <w:rPr>
          <w:rFonts w:ascii="宋体" w:hAnsi="宋体" w:cs="宋体"/>
          <w:sz w:val="32"/>
        </w:rPr>
        <w:t>9817</w:t>
      </w:r>
      <w:r>
        <w:rPr>
          <w:rFonts w:hint="eastAsia" w:ascii="宋体" w:hAnsi="宋体" w:cs="宋体"/>
          <w:sz w:val="32"/>
        </w:rPr>
        <w:t>人减少</w:t>
      </w:r>
      <w:r>
        <w:rPr>
          <w:rFonts w:ascii="宋体" w:hAnsi="宋体" w:cs="宋体"/>
          <w:sz w:val="32"/>
        </w:rPr>
        <w:t>18</w:t>
      </w:r>
      <w:r>
        <w:rPr>
          <w:rFonts w:hint="eastAsia" w:ascii="宋体" w:hAnsi="宋体" w:cs="宋体"/>
          <w:sz w:val="32"/>
        </w:rPr>
        <w:t>人。</w:t>
      </w:r>
    </w:p>
    <w:p>
      <w:pPr>
        <w:spacing w:line="600" w:lineRule="exact"/>
        <w:ind w:firstLine="640" w:firstLineChars="200"/>
        <w:rPr>
          <w:rFonts w:ascii="宋体" w:hAnsi="宋体" w:cs="宋体"/>
          <w:sz w:val="32"/>
        </w:rPr>
      </w:pPr>
      <w:r>
        <w:rPr>
          <w:rFonts w:hint="eastAsia" w:ascii="宋体" w:hAnsi="宋体" w:cs="宋体"/>
          <w:sz w:val="32"/>
        </w:rPr>
        <w:t>其中：在职</w:t>
      </w:r>
      <w:r>
        <w:rPr>
          <w:rFonts w:ascii="宋体" w:hAnsi="宋体" w:cs="宋体"/>
          <w:sz w:val="32"/>
        </w:rPr>
        <w:t>9712</w:t>
      </w:r>
      <w:r>
        <w:rPr>
          <w:rFonts w:hint="eastAsia" w:ascii="宋体" w:hAnsi="宋体" w:cs="宋体"/>
          <w:sz w:val="32"/>
        </w:rPr>
        <w:t>人, 比上年</w:t>
      </w:r>
      <w:r>
        <w:rPr>
          <w:rFonts w:ascii="宋体" w:hAnsi="宋体" w:cs="宋体"/>
          <w:sz w:val="32"/>
        </w:rPr>
        <w:t>9719</w:t>
      </w:r>
      <w:r>
        <w:rPr>
          <w:rFonts w:hint="eastAsia" w:ascii="宋体" w:hAnsi="宋体" w:cs="宋体"/>
          <w:sz w:val="32"/>
        </w:rPr>
        <w:t>人减少</w:t>
      </w:r>
      <w:r>
        <w:rPr>
          <w:rFonts w:ascii="宋体" w:hAnsi="宋体" w:cs="宋体"/>
          <w:sz w:val="32"/>
        </w:rPr>
        <w:t>7</w:t>
      </w:r>
      <w:r>
        <w:rPr>
          <w:rFonts w:hint="eastAsia" w:ascii="宋体" w:hAnsi="宋体" w:cs="宋体"/>
          <w:sz w:val="32"/>
        </w:rPr>
        <w:t>人；离休</w:t>
      </w:r>
      <w:r>
        <w:rPr>
          <w:rFonts w:ascii="宋体" w:hAnsi="宋体" w:cs="宋体"/>
          <w:sz w:val="32"/>
        </w:rPr>
        <w:t>65</w:t>
      </w:r>
      <w:r>
        <w:rPr>
          <w:rFonts w:hint="eastAsia" w:ascii="宋体" w:hAnsi="宋体" w:cs="宋体"/>
          <w:sz w:val="32"/>
        </w:rPr>
        <w:t>人，比上年</w:t>
      </w:r>
      <w:r>
        <w:rPr>
          <w:rFonts w:ascii="宋体" w:hAnsi="宋体" w:cs="宋体"/>
          <w:sz w:val="32"/>
        </w:rPr>
        <w:t>75</w:t>
      </w:r>
      <w:r>
        <w:rPr>
          <w:rFonts w:hint="eastAsia" w:ascii="宋体" w:hAnsi="宋体" w:cs="宋体"/>
          <w:sz w:val="32"/>
        </w:rPr>
        <w:t>人减少</w:t>
      </w:r>
      <w:r>
        <w:rPr>
          <w:rFonts w:ascii="宋体" w:hAnsi="宋体" w:cs="宋体"/>
          <w:sz w:val="32"/>
        </w:rPr>
        <w:t>10</w:t>
      </w:r>
      <w:r>
        <w:rPr>
          <w:rFonts w:hint="eastAsia" w:ascii="宋体" w:hAnsi="宋体" w:cs="宋体"/>
          <w:sz w:val="32"/>
        </w:rPr>
        <w:t>人；退休</w:t>
      </w:r>
      <w:r>
        <w:rPr>
          <w:rFonts w:ascii="宋体" w:hAnsi="宋体" w:cs="宋体"/>
          <w:sz w:val="32"/>
        </w:rPr>
        <w:t>22</w:t>
      </w:r>
      <w:r>
        <w:rPr>
          <w:rFonts w:hint="eastAsia" w:ascii="宋体" w:hAnsi="宋体" w:cs="宋体"/>
          <w:sz w:val="32"/>
        </w:rPr>
        <w:t>人，比上年</w:t>
      </w:r>
      <w:r>
        <w:rPr>
          <w:rFonts w:ascii="宋体" w:hAnsi="宋体" w:cs="宋体"/>
          <w:sz w:val="32"/>
        </w:rPr>
        <w:t>23</w:t>
      </w:r>
      <w:r>
        <w:rPr>
          <w:rFonts w:hint="eastAsia" w:ascii="宋体" w:hAnsi="宋体" w:cs="宋体"/>
          <w:sz w:val="32"/>
        </w:rPr>
        <w:t>人减少</w:t>
      </w:r>
      <w:r>
        <w:rPr>
          <w:rFonts w:ascii="宋体" w:hAnsi="宋体" w:cs="宋体"/>
          <w:sz w:val="32"/>
        </w:rPr>
        <w:t>1</w:t>
      </w:r>
      <w:r>
        <w:rPr>
          <w:rFonts w:hint="eastAsia" w:ascii="宋体" w:hAnsi="宋体" w:cs="宋体"/>
          <w:sz w:val="32"/>
        </w:rPr>
        <w:t>人。</w:t>
      </w:r>
    </w:p>
    <w:p>
      <w:pPr>
        <w:spacing w:line="600" w:lineRule="exact"/>
        <w:ind w:firstLine="640" w:firstLineChars="200"/>
        <w:rPr>
          <w:rFonts w:ascii="宋体" w:hAnsi="宋体" w:cs="宋体"/>
          <w:sz w:val="32"/>
        </w:rPr>
      </w:pPr>
      <w:r>
        <w:rPr>
          <w:rFonts w:hint="eastAsia" w:ascii="宋体" w:hAnsi="宋体" w:cs="宋体"/>
          <w:sz w:val="32"/>
        </w:rPr>
        <w:t>主要增减因素是：</w:t>
      </w:r>
    </w:p>
    <w:p>
      <w:pPr>
        <w:spacing w:line="600" w:lineRule="exact"/>
        <w:ind w:firstLine="640" w:firstLineChars="200"/>
        <w:rPr>
          <w:rFonts w:ascii="宋体" w:hAnsi="宋体" w:cs="宋体"/>
          <w:sz w:val="32"/>
        </w:rPr>
      </w:pPr>
      <w:r>
        <w:rPr>
          <w:rFonts w:ascii="宋体" w:hAnsi="宋体" w:cs="宋体"/>
          <w:sz w:val="32"/>
        </w:rPr>
        <w:t>1</w:t>
      </w:r>
      <w:r>
        <w:rPr>
          <w:rFonts w:hint="eastAsia" w:ascii="宋体" w:hAnsi="宋体" w:cs="宋体"/>
          <w:sz w:val="32"/>
        </w:rPr>
        <w:t>、</w:t>
      </w:r>
      <w:r>
        <w:rPr>
          <w:rFonts w:ascii="宋体" w:hAnsi="宋体" w:cs="宋体"/>
          <w:sz w:val="32"/>
        </w:rPr>
        <w:t>2020</w:t>
      </w:r>
      <w:r>
        <w:rPr>
          <w:rFonts w:hint="eastAsia" w:ascii="宋体" w:hAnsi="宋体" w:cs="宋体"/>
          <w:sz w:val="32"/>
        </w:rPr>
        <w:t>年新增</w:t>
      </w:r>
      <w:r>
        <w:rPr>
          <w:rFonts w:ascii="宋体" w:hAnsi="宋体" w:cs="宋体"/>
          <w:sz w:val="32"/>
        </w:rPr>
        <w:t>380</w:t>
      </w:r>
      <w:r>
        <w:rPr>
          <w:rFonts w:hint="eastAsia" w:ascii="宋体" w:hAnsi="宋体" w:cs="宋体"/>
          <w:sz w:val="32"/>
        </w:rPr>
        <w:t>人。其中：公开招聘</w:t>
      </w:r>
      <w:r>
        <w:rPr>
          <w:rFonts w:ascii="宋体" w:hAnsi="宋体" w:cs="宋体"/>
          <w:sz w:val="32"/>
        </w:rPr>
        <w:t>184</w:t>
      </w:r>
      <w:r>
        <w:rPr>
          <w:rFonts w:hint="eastAsia" w:ascii="宋体" w:hAnsi="宋体" w:cs="宋体"/>
          <w:sz w:val="32"/>
        </w:rPr>
        <w:t>人，退伍军人安置</w:t>
      </w:r>
      <w:r>
        <w:rPr>
          <w:rFonts w:ascii="宋体" w:hAnsi="宋体" w:cs="宋体"/>
          <w:sz w:val="32"/>
        </w:rPr>
        <w:t>21</w:t>
      </w:r>
      <w:r>
        <w:rPr>
          <w:rFonts w:hint="eastAsia" w:ascii="宋体" w:hAnsi="宋体" w:cs="宋体"/>
          <w:sz w:val="32"/>
        </w:rPr>
        <w:t>人，外县调入</w:t>
      </w:r>
      <w:r>
        <w:rPr>
          <w:rFonts w:ascii="宋体" w:hAnsi="宋体" w:cs="宋体"/>
          <w:sz w:val="32"/>
        </w:rPr>
        <w:t>27</w:t>
      </w:r>
      <w:r>
        <w:rPr>
          <w:rFonts w:hint="eastAsia" w:ascii="宋体" w:hAnsi="宋体" w:cs="宋体"/>
          <w:sz w:val="32"/>
        </w:rPr>
        <w:t>人，市政设施服务中心</w:t>
      </w:r>
      <w:r>
        <w:rPr>
          <w:rFonts w:ascii="宋体" w:hAnsi="宋体" w:cs="宋体"/>
          <w:sz w:val="32"/>
        </w:rPr>
        <w:t>78</w:t>
      </w:r>
      <w:r>
        <w:rPr>
          <w:rFonts w:hint="eastAsia" w:ascii="宋体" w:hAnsi="宋体" w:cs="宋体"/>
          <w:sz w:val="32"/>
        </w:rPr>
        <w:t>人，道路建设服务中心</w:t>
      </w:r>
      <w:r>
        <w:rPr>
          <w:rFonts w:ascii="宋体" w:hAnsi="宋体" w:cs="宋体"/>
          <w:sz w:val="32"/>
        </w:rPr>
        <w:t>41</w:t>
      </w:r>
      <w:r>
        <w:rPr>
          <w:rFonts w:hint="eastAsia" w:ascii="宋体" w:hAnsi="宋体" w:cs="宋体"/>
          <w:sz w:val="32"/>
        </w:rPr>
        <w:t>人，盐业服务中心</w:t>
      </w:r>
      <w:r>
        <w:rPr>
          <w:rFonts w:ascii="宋体" w:hAnsi="宋体" w:cs="宋体"/>
          <w:sz w:val="32"/>
        </w:rPr>
        <w:t>9</w:t>
      </w:r>
      <w:r>
        <w:rPr>
          <w:rFonts w:hint="eastAsia" w:ascii="宋体" w:hAnsi="宋体" w:cs="宋体"/>
          <w:sz w:val="32"/>
        </w:rPr>
        <w:t>人，自收自支转隶</w:t>
      </w:r>
      <w:r>
        <w:rPr>
          <w:rFonts w:ascii="宋体" w:hAnsi="宋体" w:cs="宋体"/>
          <w:sz w:val="32"/>
        </w:rPr>
        <w:t>12</w:t>
      </w:r>
      <w:r>
        <w:rPr>
          <w:rFonts w:hint="eastAsia" w:ascii="宋体" w:hAnsi="宋体" w:cs="宋体"/>
          <w:sz w:val="32"/>
        </w:rPr>
        <w:t>人（普救寺转隶行政审批局变全额</w:t>
      </w:r>
      <w:r>
        <w:rPr>
          <w:rFonts w:ascii="宋体" w:hAnsi="宋体" w:cs="宋体"/>
          <w:sz w:val="32"/>
        </w:rPr>
        <w:t>1</w:t>
      </w:r>
      <w:r>
        <w:rPr>
          <w:rFonts w:hint="eastAsia" w:ascii="宋体" w:hAnsi="宋体" w:cs="宋体"/>
          <w:sz w:val="32"/>
        </w:rPr>
        <w:t>人、粮库转隶经济开发区变全额</w:t>
      </w:r>
      <w:r>
        <w:rPr>
          <w:rFonts w:ascii="宋体" w:hAnsi="宋体" w:cs="宋体"/>
          <w:sz w:val="32"/>
        </w:rPr>
        <w:t>1</w:t>
      </w:r>
      <w:r>
        <w:rPr>
          <w:rFonts w:hint="eastAsia" w:ascii="宋体" w:hAnsi="宋体" w:cs="宋体"/>
          <w:sz w:val="32"/>
        </w:rPr>
        <w:t>人、温流水转隶林业局变差额</w:t>
      </w:r>
      <w:r>
        <w:rPr>
          <w:rFonts w:ascii="宋体" w:hAnsi="宋体" w:cs="宋体"/>
          <w:sz w:val="32"/>
        </w:rPr>
        <w:t>10</w:t>
      </w:r>
      <w:r>
        <w:rPr>
          <w:rFonts w:hint="eastAsia" w:ascii="宋体" w:hAnsi="宋体" w:cs="宋体"/>
          <w:sz w:val="32"/>
        </w:rPr>
        <w:t>人），政策性</w:t>
      </w:r>
      <w:r>
        <w:rPr>
          <w:rFonts w:ascii="宋体" w:hAnsi="宋体" w:cs="宋体"/>
          <w:sz w:val="32"/>
        </w:rPr>
        <w:t>4</w:t>
      </w:r>
      <w:r>
        <w:rPr>
          <w:rFonts w:hint="eastAsia" w:ascii="宋体" w:hAnsi="宋体" w:cs="宋体"/>
          <w:sz w:val="32"/>
        </w:rPr>
        <w:t>人（市医院援鄂护士</w:t>
      </w:r>
      <w:r>
        <w:rPr>
          <w:rFonts w:ascii="宋体" w:hAnsi="宋体" w:cs="宋体"/>
          <w:sz w:val="32"/>
        </w:rPr>
        <w:t>3</w:t>
      </w:r>
      <w:r>
        <w:rPr>
          <w:rFonts w:hint="eastAsia" w:ascii="宋体" w:hAnsi="宋体" w:cs="宋体"/>
          <w:sz w:val="32"/>
        </w:rPr>
        <w:t>人、张营镇蹲苗计划</w:t>
      </w:r>
      <w:r>
        <w:rPr>
          <w:rFonts w:ascii="宋体" w:hAnsi="宋体" w:cs="宋体"/>
          <w:sz w:val="32"/>
        </w:rPr>
        <w:t>1</w:t>
      </w:r>
      <w:r>
        <w:rPr>
          <w:rFonts w:hint="eastAsia" w:ascii="宋体" w:hAnsi="宋体" w:cs="宋体"/>
          <w:sz w:val="32"/>
        </w:rPr>
        <w:t>人），大学生分配</w:t>
      </w:r>
      <w:r>
        <w:rPr>
          <w:rFonts w:ascii="宋体" w:hAnsi="宋体" w:cs="宋体"/>
          <w:sz w:val="32"/>
        </w:rPr>
        <w:t>2</w:t>
      </w:r>
      <w:r>
        <w:rPr>
          <w:rFonts w:hint="eastAsia" w:ascii="宋体" w:hAnsi="宋体" w:cs="宋体"/>
          <w:sz w:val="32"/>
        </w:rPr>
        <w:t>人（少体校</w:t>
      </w:r>
      <w:r>
        <w:rPr>
          <w:rFonts w:ascii="宋体" w:hAnsi="宋体" w:cs="宋体"/>
          <w:sz w:val="32"/>
        </w:rPr>
        <w:t>1</w:t>
      </w:r>
      <w:r>
        <w:rPr>
          <w:rFonts w:hint="eastAsia" w:ascii="宋体" w:hAnsi="宋体" w:cs="宋体"/>
          <w:sz w:val="32"/>
        </w:rPr>
        <w:t>人、国有林场</w:t>
      </w:r>
      <w:r>
        <w:rPr>
          <w:rFonts w:ascii="宋体" w:hAnsi="宋体" w:cs="宋体"/>
          <w:sz w:val="32"/>
        </w:rPr>
        <w:t>1</w:t>
      </w:r>
      <w:r>
        <w:rPr>
          <w:rFonts w:hint="eastAsia" w:ascii="宋体" w:hAnsi="宋体" w:cs="宋体"/>
          <w:sz w:val="32"/>
        </w:rPr>
        <w:t>人），定向生</w:t>
      </w:r>
      <w:r>
        <w:rPr>
          <w:rFonts w:ascii="宋体" w:hAnsi="宋体" w:cs="宋体"/>
          <w:sz w:val="32"/>
        </w:rPr>
        <w:t>1</w:t>
      </w:r>
      <w:r>
        <w:rPr>
          <w:rFonts w:hint="eastAsia" w:ascii="宋体" w:hAnsi="宋体" w:cs="宋体"/>
          <w:sz w:val="32"/>
        </w:rPr>
        <w:t>人（虞乡卫生院），差额选调</w:t>
      </w:r>
      <w:r>
        <w:rPr>
          <w:rFonts w:ascii="宋体" w:hAnsi="宋体" w:cs="宋体"/>
          <w:sz w:val="32"/>
        </w:rPr>
        <w:t>1</w:t>
      </w:r>
      <w:r>
        <w:rPr>
          <w:rFonts w:hint="eastAsia" w:ascii="宋体" w:hAnsi="宋体" w:cs="宋体"/>
          <w:sz w:val="32"/>
        </w:rPr>
        <w:t>人（棉花原种场转隶行政审批局，差额变全额）。</w:t>
      </w:r>
    </w:p>
    <w:p>
      <w:pPr>
        <w:spacing w:line="600" w:lineRule="exact"/>
        <w:ind w:firstLine="640" w:firstLineChars="200"/>
        <w:rPr>
          <w:rFonts w:ascii="宋体" w:hAnsi="宋体" w:cs="宋体"/>
          <w:sz w:val="32"/>
        </w:rPr>
      </w:pPr>
      <w:r>
        <w:rPr>
          <w:rFonts w:ascii="宋体" w:hAnsi="宋体" w:cs="宋体"/>
          <w:sz w:val="32"/>
        </w:rPr>
        <w:t>2</w:t>
      </w:r>
      <w:r>
        <w:rPr>
          <w:rFonts w:hint="eastAsia" w:ascii="宋体" w:hAnsi="宋体" w:cs="宋体"/>
          <w:sz w:val="32"/>
        </w:rPr>
        <w:t>、在职减少</w:t>
      </w:r>
      <w:r>
        <w:rPr>
          <w:rFonts w:ascii="宋体" w:hAnsi="宋体" w:cs="宋体"/>
          <w:sz w:val="32"/>
        </w:rPr>
        <w:t>387</w:t>
      </w:r>
      <w:r>
        <w:rPr>
          <w:rFonts w:hint="eastAsia" w:ascii="宋体" w:hAnsi="宋体" w:cs="宋体"/>
          <w:sz w:val="32"/>
        </w:rPr>
        <w:t>人。其中：退休</w:t>
      </w:r>
      <w:r>
        <w:rPr>
          <w:rFonts w:ascii="宋体" w:hAnsi="宋体" w:cs="宋体"/>
          <w:sz w:val="32"/>
        </w:rPr>
        <w:t>319</w:t>
      </w:r>
      <w:r>
        <w:rPr>
          <w:rFonts w:hint="eastAsia" w:ascii="宋体" w:hAnsi="宋体" w:cs="宋体"/>
          <w:sz w:val="32"/>
        </w:rPr>
        <w:t>人，调出</w:t>
      </w:r>
      <w:r>
        <w:rPr>
          <w:rFonts w:ascii="宋体" w:hAnsi="宋体" w:cs="宋体"/>
          <w:sz w:val="32"/>
        </w:rPr>
        <w:t>29</w:t>
      </w:r>
      <w:r>
        <w:rPr>
          <w:rFonts w:hint="eastAsia" w:ascii="宋体" w:hAnsi="宋体" w:cs="宋体"/>
          <w:sz w:val="32"/>
        </w:rPr>
        <w:t>人，辞职</w:t>
      </w:r>
      <w:r>
        <w:rPr>
          <w:rFonts w:ascii="宋体" w:hAnsi="宋体" w:cs="宋体"/>
          <w:sz w:val="32"/>
        </w:rPr>
        <w:t>17</w:t>
      </w:r>
      <w:r>
        <w:rPr>
          <w:rFonts w:hint="eastAsia" w:ascii="宋体" w:hAnsi="宋体" w:cs="宋体"/>
          <w:sz w:val="32"/>
        </w:rPr>
        <w:t>人，死亡</w:t>
      </w:r>
      <w:r>
        <w:rPr>
          <w:rFonts w:ascii="宋体" w:hAnsi="宋体" w:cs="宋体"/>
          <w:sz w:val="32"/>
        </w:rPr>
        <w:t>17</w:t>
      </w:r>
      <w:r>
        <w:rPr>
          <w:rFonts w:hint="eastAsia" w:ascii="宋体" w:hAnsi="宋体" w:cs="宋体"/>
          <w:sz w:val="32"/>
        </w:rPr>
        <w:t>人，开除</w:t>
      </w:r>
      <w:r>
        <w:rPr>
          <w:rFonts w:ascii="宋体" w:hAnsi="宋体" w:cs="宋体"/>
          <w:sz w:val="32"/>
        </w:rPr>
        <w:t>5</w:t>
      </w:r>
      <w:r>
        <w:rPr>
          <w:rFonts w:hint="eastAsia" w:ascii="宋体" w:hAnsi="宋体" w:cs="宋体"/>
          <w:sz w:val="32"/>
        </w:rPr>
        <w:t>人。</w:t>
      </w:r>
    </w:p>
    <w:p>
      <w:pPr>
        <w:spacing w:line="600" w:lineRule="exact"/>
        <w:ind w:firstLine="640" w:firstLineChars="200"/>
        <w:rPr>
          <w:rFonts w:ascii="宋体" w:hAnsi="宋体" w:cs="宋体"/>
          <w:sz w:val="32"/>
        </w:rPr>
      </w:pPr>
      <w:r>
        <w:rPr>
          <w:rFonts w:ascii="宋体" w:hAnsi="宋体" w:cs="宋体"/>
          <w:sz w:val="32"/>
        </w:rPr>
        <w:t>3</w:t>
      </w:r>
      <w:r>
        <w:rPr>
          <w:rFonts w:hint="eastAsia" w:ascii="宋体" w:hAnsi="宋体" w:cs="宋体"/>
          <w:sz w:val="32"/>
        </w:rPr>
        <w:t>、离休减少</w:t>
      </w:r>
      <w:r>
        <w:rPr>
          <w:rFonts w:ascii="宋体" w:hAnsi="宋体" w:cs="宋体"/>
          <w:sz w:val="32"/>
        </w:rPr>
        <w:t>10</w:t>
      </w:r>
      <w:r>
        <w:rPr>
          <w:rFonts w:hint="eastAsia" w:ascii="宋体" w:hAnsi="宋体" w:cs="宋体"/>
          <w:sz w:val="32"/>
        </w:rPr>
        <w:t>人（其中死亡</w:t>
      </w:r>
      <w:r>
        <w:rPr>
          <w:rFonts w:ascii="宋体" w:hAnsi="宋体" w:cs="宋体"/>
          <w:sz w:val="32"/>
        </w:rPr>
        <w:t>10</w:t>
      </w:r>
      <w:r>
        <w:rPr>
          <w:rFonts w:hint="eastAsia" w:ascii="宋体" w:hAnsi="宋体" w:cs="宋体"/>
          <w:sz w:val="32"/>
        </w:rPr>
        <w:t>人）。</w:t>
      </w:r>
    </w:p>
    <w:p>
      <w:pPr>
        <w:spacing w:line="600" w:lineRule="exact"/>
        <w:ind w:firstLine="640" w:firstLineChars="200"/>
        <w:rPr>
          <w:rFonts w:ascii="宋体" w:hAnsi="宋体" w:cs="宋体"/>
          <w:sz w:val="32"/>
        </w:rPr>
      </w:pPr>
      <w:r>
        <w:rPr>
          <w:rFonts w:ascii="宋体" w:hAnsi="宋体" w:cs="宋体"/>
          <w:sz w:val="32"/>
        </w:rPr>
        <w:t>4</w:t>
      </w:r>
      <w:r>
        <w:rPr>
          <w:rFonts w:hint="eastAsia" w:ascii="宋体" w:hAnsi="宋体" w:cs="宋体"/>
          <w:sz w:val="32"/>
        </w:rPr>
        <w:t>、退休减少</w:t>
      </w:r>
      <w:r>
        <w:rPr>
          <w:rFonts w:ascii="宋体" w:hAnsi="宋体" w:cs="宋体"/>
          <w:sz w:val="32"/>
        </w:rPr>
        <w:t>1</w:t>
      </w:r>
      <w:r>
        <w:rPr>
          <w:rFonts w:hint="eastAsia" w:ascii="宋体" w:hAnsi="宋体" w:cs="宋体"/>
          <w:sz w:val="32"/>
        </w:rPr>
        <w:t>人。</w:t>
      </w:r>
    </w:p>
    <w:p>
      <w:pPr>
        <w:spacing w:line="600" w:lineRule="exact"/>
        <w:ind w:firstLine="640"/>
        <w:rPr>
          <w:rFonts w:ascii="黑体" w:hAnsi="黑体" w:eastAsia="黑体" w:cs="黑体"/>
          <w:sz w:val="32"/>
        </w:rPr>
      </w:pPr>
      <w:r>
        <w:rPr>
          <w:rFonts w:hint="eastAsia" w:ascii="黑体" w:hAnsi="黑体" w:eastAsia="黑体" w:cs="黑体"/>
          <w:sz w:val="32"/>
        </w:rPr>
        <w:t>九、地方政府债务情况</w:t>
      </w:r>
    </w:p>
    <w:p>
      <w:pPr>
        <w:spacing w:line="600" w:lineRule="exact"/>
        <w:ind w:firstLine="643"/>
        <w:rPr>
          <w:rFonts w:ascii="宋体" w:hAnsi="宋体" w:cs="宋体"/>
          <w:b/>
          <w:bCs/>
          <w:sz w:val="32"/>
        </w:rPr>
      </w:pPr>
      <w:r>
        <w:rPr>
          <w:rFonts w:hint="eastAsia" w:ascii="宋体" w:hAnsi="宋体" w:cs="宋体"/>
          <w:b/>
          <w:bCs/>
          <w:sz w:val="32"/>
        </w:rPr>
        <w:t>（一）2020年政府性债务总体情况</w:t>
      </w:r>
    </w:p>
    <w:p>
      <w:pPr>
        <w:spacing w:line="600" w:lineRule="exact"/>
        <w:ind w:firstLine="643"/>
        <w:rPr>
          <w:rFonts w:hint="eastAsia" w:ascii="宋体" w:hAnsi="宋体" w:cs="宋体"/>
          <w:bCs/>
          <w:sz w:val="32"/>
        </w:rPr>
      </w:pPr>
      <w:r>
        <w:rPr>
          <w:rFonts w:hint="eastAsia" w:ascii="宋体" w:hAnsi="宋体" w:cs="宋体"/>
          <w:bCs/>
          <w:sz w:val="32"/>
        </w:rPr>
        <w:t>2020年末，我市政府债务余额111300万元，未超过2020年政府债务限额119800万元，其中，一般债务59000万元，专项债务52300万元。政府负有担保责任的债务2671.45万元。我市地方政府债务余额未超过债务限额，风险总体可控。</w:t>
      </w:r>
    </w:p>
    <w:p>
      <w:pPr>
        <w:spacing w:line="600" w:lineRule="exact"/>
        <w:ind w:firstLine="643"/>
        <w:rPr>
          <w:rFonts w:ascii="宋体" w:hAnsi="宋体" w:cs="宋体"/>
          <w:bCs/>
          <w:sz w:val="32"/>
        </w:rPr>
      </w:pPr>
      <w:r>
        <w:rPr>
          <w:rFonts w:hint="eastAsia" w:ascii="宋体" w:hAnsi="宋体" w:cs="宋体"/>
          <w:b/>
          <w:bCs/>
          <w:sz w:val="32"/>
        </w:rPr>
        <w:t>（二）新增债券资金使用情况</w:t>
      </w:r>
    </w:p>
    <w:p>
      <w:pPr>
        <w:spacing w:line="600" w:lineRule="exact"/>
        <w:ind w:firstLine="643"/>
        <w:rPr>
          <w:rFonts w:ascii="宋体" w:hAnsi="宋体" w:cs="宋体"/>
          <w:bCs/>
          <w:sz w:val="32"/>
        </w:rPr>
      </w:pPr>
      <w:r>
        <w:rPr>
          <w:rFonts w:hint="eastAsia" w:ascii="宋体" w:hAnsi="宋体" w:cs="宋体"/>
          <w:bCs/>
          <w:sz w:val="32"/>
        </w:rPr>
        <w:t>今年我市收到上级转贷的新增债券资金24000万元，其中，新增一般债券资金15000万元，新增专项债券资金9000万元。</w:t>
      </w:r>
    </w:p>
    <w:p>
      <w:pPr>
        <w:spacing w:line="600" w:lineRule="exact"/>
        <w:ind w:firstLine="643"/>
        <w:rPr>
          <w:rFonts w:ascii="宋体" w:hAnsi="宋体" w:cs="宋体"/>
          <w:bCs/>
          <w:sz w:val="32"/>
        </w:rPr>
      </w:pPr>
      <w:r>
        <w:rPr>
          <w:rFonts w:hint="eastAsia" w:ascii="宋体" w:hAnsi="宋体" w:cs="宋体"/>
          <w:bCs/>
          <w:sz w:val="32"/>
        </w:rPr>
        <w:t>新增一般债券支出的项目是：大西高铁引道（省道小风线）建设工程3000万元，永济市城区及七个乡镇生活垃圾收运系统建设项目3000万元，永济市智慧城市建设项目1500万元，永济市餐厨垃圾处理场建设项目1500万元，永济市振兴西街排水道改建工程1500万元，永济市市区10kv线路改造工程（强电入地一期工程）1500万元，永济市粪便无害化处理场建设项目1000万元，政务服务中心配套人防工程1000万元，永济市沿黄旅游公路改建工程1000万元。</w:t>
      </w:r>
    </w:p>
    <w:p>
      <w:pPr>
        <w:spacing w:line="600" w:lineRule="exact"/>
        <w:ind w:firstLine="643"/>
        <w:rPr>
          <w:rFonts w:ascii="宋体" w:hAnsi="宋体" w:cs="宋体"/>
          <w:bCs/>
          <w:sz w:val="32"/>
        </w:rPr>
      </w:pPr>
      <w:r>
        <w:rPr>
          <w:rFonts w:hint="eastAsia" w:ascii="宋体" w:hAnsi="宋体" w:cs="宋体"/>
          <w:bCs/>
          <w:sz w:val="32"/>
        </w:rPr>
        <w:t>新增专项债券支出项目是：永济市标准化厂房建设项目8000万元，永济市中医医院室外设施及配套工程1000万元。</w:t>
      </w:r>
    </w:p>
    <w:p>
      <w:pPr>
        <w:spacing w:line="600" w:lineRule="exact"/>
        <w:ind w:firstLine="643" w:firstLineChars="200"/>
        <w:rPr>
          <w:rFonts w:ascii="宋体" w:hAnsi="宋体" w:cs="宋体"/>
          <w:b/>
          <w:bCs/>
          <w:sz w:val="32"/>
        </w:rPr>
      </w:pPr>
      <w:r>
        <w:rPr>
          <w:rFonts w:hint="eastAsia" w:ascii="宋体" w:hAnsi="宋体" w:cs="宋体"/>
          <w:b/>
          <w:bCs/>
          <w:sz w:val="32"/>
        </w:rPr>
        <w:t>（三）债券还本付息</w:t>
      </w:r>
    </w:p>
    <w:p>
      <w:pPr>
        <w:spacing w:line="600" w:lineRule="exact"/>
        <w:ind w:firstLine="643"/>
        <w:rPr>
          <w:rFonts w:hint="eastAsia" w:ascii="宋体" w:hAnsi="宋体" w:cs="宋体"/>
          <w:bCs/>
          <w:sz w:val="32"/>
        </w:rPr>
      </w:pPr>
      <w:r>
        <w:rPr>
          <w:rFonts w:hint="eastAsia" w:ascii="宋体" w:hAnsi="宋体" w:cs="宋体"/>
          <w:bCs/>
          <w:sz w:val="32"/>
        </w:rPr>
        <w:t>2020年政府债券到期本息12018.2万元，其中，一般债券到期本金3500万元，到期利息1874.65万元；专项债券到期本金5000万元，到期利息1643.55万元。到期本息已全部偿还。</w:t>
      </w:r>
    </w:p>
    <w:p>
      <w:pPr>
        <w:spacing w:line="600" w:lineRule="exact"/>
        <w:ind w:firstLine="643" w:firstLineChars="200"/>
        <w:rPr>
          <w:rFonts w:ascii="宋体" w:hAnsi="宋体" w:cs="宋体"/>
          <w:b/>
          <w:bCs/>
          <w:sz w:val="32"/>
        </w:rPr>
      </w:pPr>
      <w:r>
        <w:rPr>
          <w:rFonts w:hint="eastAsia" w:ascii="宋体" w:hAnsi="宋体" w:cs="宋体"/>
          <w:b/>
          <w:bCs/>
          <w:sz w:val="32"/>
        </w:rPr>
        <w:t>（四）抗疫特别国债资金安排情况</w:t>
      </w:r>
    </w:p>
    <w:p>
      <w:pPr>
        <w:spacing w:line="600" w:lineRule="exact"/>
        <w:ind w:firstLine="643"/>
        <w:rPr>
          <w:rFonts w:ascii="宋体" w:hAnsi="宋体" w:cs="宋体"/>
          <w:bCs/>
          <w:sz w:val="32"/>
        </w:rPr>
      </w:pPr>
      <w:r>
        <w:rPr>
          <w:rFonts w:hint="eastAsia" w:ascii="宋体" w:hAnsi="宋体" w:cs="宋体"/>
          <w:bCs/>
          <w:sz w:val="32"/>
        </w:rPr>
        <w:t>我市收到上级下达的抗疫特别国债资金5000万元，按照《抗疫特别国债管理办法》及上级对我市上报资金分配方案的审核意见，用于人民医院传染病区提升改造及完善仪器设备配置项目4000万元，医疗集团市镇村数字医疗一体化建设项目1000万元。</w:t>
      </w:r>
    </w:p>
    <w:p>
      <w:pPr>
        <w:spacing w:line="600" w:lineRule="exact"/>
        <w:ind w:firstLine="643"/>
        <w:rPr>
          <w:rFonts w:ascii="黑体" w:hAnsi="黑体" w:eastAsia="黑体" w:cs="黑体"/>
          <w:sz w:val="32"/>
        </w:rPr>
      </w:pPr>
      <w:r>
        <w:rPr>
          <w:rFonts w:hint="eastAsia" w:ascii="黑体" w:hAnsi="黑体" w:eastAsia="黑体" w:cs="黑体"/>
          <w:sz w:val="32"/>
        </w:rPr>
        <w:t>十、社保基金预算执行情况</w:t>
      </w:r>
    </w:p>
    <w:p>
      <w:pPr>
        <w:spacing w:line="600" w:lineRule="exact"/>
        <w:ind w:firstLine="640" w:firstLineChars="200"/>
        <w:rPr>
          <w:rFonts w:ascii="宋体" w:hAnsi="宋体" w:cs="宋体"/>
          <w:sz w:val="32"/>
        </w:rPr>
      </w:pPr>
      <w:r>
        <w:rPr>
          <w:rFonts w:hint="eastAsia" w:ascii="宋体" w:hAnsi="宋体" w:cs="宋体"/>
          <w:sz w:val="32"/>
        </w:rPr>
        <w:t>社保基金收入41176万元，支出39992万元，年末滚存结余36671万元。其中：机关事业单位基本养老保险基金收入27177万元，支出30825万元，年末滚存结余2139万元；城乡居民基本养老保险基金收入13999万元，支出9167万元，年末滚存结余34532万元。</w:t>
      </w:r>
    </w:p>
    <w:p>
      <w:pPr>
        <w:spacing w:line="600" w:lineRule="exact"/>
        <w:ind w:firstLine="640"/>
        <w:rPr>
          <w:rFonts w:ascii="黑体" w:hAnsi="黑体" w:eastAsia="黑体" w:cs="黑体"/>
          <w:sz w:val="32"/>
        </w:rPr>
      </w:pPr>
      <w:r>
        <w:rPr>
          <w:rFonts w:hint="eastAsia" w:ascii="黑体" w:hAnsi="黑体" w:eastAsia="黑体" w:cs="黑体"/>
          <w:sz w:val="32"/>
        </w:rPr>
        <w:t>十一、财政工作存在的困难及2021年工作重点</w:t>
      </w:r>
    </w:p>
    <w:p>
      <w:pPr>
        <w:spacing w:line="600" w:lineRule="exact"/>
        <w:ind w:firstLine="640"/>
        <w:rPr>
          <w:rFonts w:hint="eastAsia" w:ascii="宋体" w:hAnsi="宋体" w:cs="宋体"/>
          <w:sz w:val="32"/>
        </w:rPr>
      </w:pPr>
      <w:r>
        <w:rPr>
          <w:rFonts w:hint="eastAsia" w:ascii="宋体" w:hAnsi="宋体" w:cs="宋体"/>
          <w:sz w:val="32"/>
        </w:rPr>
        <w:t>2020年财政部门在向上争取资金、保障改善民生、支持经济发展等方面取得了成绩，但还存在一些困难和问题：一是我市重点税源企业经营状况较为平稳，新招商企业短期内不能达产增效，税源基础不稳固；二是保工资、保运转、保民生需求不断增加，各类保险缺口较大，政府债务还本付息及消化暂付款任务较重，收支矛盾十分突出；三是地方政府性债务管理与防范风险化解债务风险能力需进一步增强；四是有些部门过“紧日子”的意识不强，“花钱必问效”的绩效管理理念需加强。对此，我们积极面对，通过深化改革，完善机制，采取有效措施加以解决。</w:t>
      </w:r>
    </w:p>
    <w:p>
      <w:pPr>
        <w:spacing w:line="600" w:lineRule="exact"/>
        <w:ind w:firstLine="640"/>
        <w:rPr>
          <w:rFonts w:hint="eastAsia" w:ascii="宋体" w:hAnsi="宋体" w:cs="宋体"/>
          <w:sz w:val="32"/>
        </w:rPr>
      </w:pPr>
      <w:r>
        <w:rPr>
          <w:rFonts w:hint="eastAsia" w:ascii="宋体" w:hAnsi="宋体" w:cs="宋体"/>
          <w:sz w:val="32"/>
        </w:rPr>
        <w:t>做好2021年财政工作，要坚持稳中求进工作总基调，立足新发展阶段，贯彻新发展理念，支持高质量转型发展，保障和改善民生，深化财政体制改革，提升理财水平。我们要切实采取有效措施，确保全年任务的完成。</w:t>
      </w:r>
    </w:p>
    <w:p>
      <w:pPr>
        <w:spacing w:line="600" w:lineRule="exact"/>
        <w:ind w:firstLine="640"/>
        <w:rPr>
          <w:rFonts w:hint="eastAsia" w:ascii="宋体" w:hAnsi="宋体" w:cs="宋体"/>
          <w:sz w:val="32"/>
        </w:rPr>
      </w:pPr>
      <w:r>
        <w:rPr>
          <w:rFonts w:hint="eastAsia" w:ascii="宋体" w:hAnsi="宋体" w:cs="宋体"/>
          <w:sz w:val="32"/>
        </w:rPr>
        <w:t>1、强化收入征管工作，确保全年收入计划的完成。坚持积极的财政政策提质增效，落实减费降税政策，注重提高招商引资质量，积极培植新的财源。发挥财政资金扶持引导作用，统筹推进重点领域、重点产业、重点项目建设，不断优化收入结构。依法依规组织收入，加强对重点行业重点税源的监控，提高收入质量。加强财税部门协作，确保税源不流失，规范非税收入征缴，确保全年收入计划的完成。</w:t>
      </w:r>
    </w:p>
    <w:p>
      <w:pPr>
        <w:spacing w:line="600" w:lineRule="exact"/>
        <w:ind w:firstLine="640"/>
        <w:rPr>
          <w:rFonts w:hint="eastAsia" w:ascii="宋体" w:hAnsi="宋体" w:cs="宋体"/>
          <w:sz w:val="32"/>
        </w:rPr>
      </w:pPr>
      <w:r>
        <w:rPr>
          <w:rFonts w:hint="eastAsia" w:ascii="宋体" w:hAnsi="宋体" w:cs="宋体"/>
          <w:sz w:val="32"/>
        </w:rPr>
        <w:t xml:space="preserve"> 2、积极争取上级资金，全力支持经济发展。财政部门及职能部门要发挥自身优势，准确把握国家有关政策和投资重点，帮助项目实施单位向上争取资金，尽最大努力积极争取上级转移支付和专项资金，缓解县级财政压力的同时，全力支持我市经济发展。</w:t>
      </w:r>
    </w:p>
    <w:p>
      <w:pPr>
        <w:spacing w:line="600" w:lineRule="exact"/>
        <w:ind w:firstLine="640"/>
        <w:rPr>
          <w:rFonts w:hint="eastAsia" w:ascii="宋体" w:hAnsi="宋体" w:cs="宋体"/>
          <w:sz w:val="32"/>
        </w:rPr>
      </w:pPr>
      <w:r>
        <w:rPr>
          <w:rFonts w:hint="eastAsia" w:ascii="宋体" w:hAnsi="宋体" w:cs="宋体"/>
          <w:sz w:val="32"/>
        </w:rPr>
        <w:t>3、加强预算管理，做好预决算公开。认真落实《预算法实施条例》，强化预决算公开，自觉接受人大及公众监督。依托预算管理一体化系统，加快预算支出标准体系建设，提升预算管理信息化水平。加强直达资金管理，确保惠企利民。</w:t>
      </w:r>
    </w:p>
    <w:p>
      <w:pPr>
        <w:spacing w:line="600" w:lineRule="exact"/>
        <w:ind w:firstLine="640"/>
        <w:rPr>
          <w:rFonts w:hint="eastAsia" w:ascii="宋体" w:hAnsi="宋体" w:cs="宋体"/>
          <w:sz w:val="32"/>
        </w:rPr>
      </w:pPr>
      <w:r>
        <w:rPr>
          <w:rFonts w:hint="eastAsia" w:ascii="宋体" w:hAnsi="宋体" w:cs="宋体"/>
          <w:sz w:val="32"/>
        </w:rPr>
        <w:t>4、优化支出结构，全力保障改善民生。按照支出预算编制原则，落实政府过“紧日子”的要求，严控一般性支出。牢固树立底线思维，做好“三保”工作，优先安排政府债券还本付息支出及消化暂付款。切实保障和改善民生，落实好教育、医疗卫生、社会保障等方面的政策配套，做好常态化疫情防控资金保障，加大对乡村振兴、农业农村方面的支持。</w:t>
      </w:r>
    </w:p>
    <w:p>
      <w:pPr>
        <w:spacing w:line="600" w:lineRule="exact"/>
        <w:ind w:firstLine="640"/>
        <w:rPr>
          <w:rFonts w:hint="eastAsia" w:ascii="宋体" w:hAnsi="宋体" w:cs="宋体"/>
          <w:sz w:val="32"/>
        </w:rPr>
      </w:pPr>
      <w:r>
        <w:rPr>
          <w:rFonts w:hint="eastAsia" w:ascii="宋体" w:hAnsi="宋体" w:cs="宋体"/>
          <w:sz w:val="32"/>
        </w:rPr>
        <w:t xml:space="preserve"> 5、严格控制风险，加强政府债务管理。防范化解政府债务风险，在政府债务限额内，合理确定举债规模，加强对政府债务率监控，发挥政府债券资金的使用效益。健全隐性债务常态化监测机制，加强隐性债务风险管理，做好化解存量与严控增量工作。</w:t>
      </w:r>
    </w:p>
    <w:p>
      <w:pPr>
        <w:spacing w:line="600" w:lineRule="exact"/>
        <w:ind w:firstLine="640"/>
        <w:rPr>
          <w:rFonts w:hint="eastAsia" w:ascii="宋体" w:hAnsi="宋体" w:cs="宋体"/>
          <w:sz w:val="32"/>
        </w:rPr>
      </w:pPr>
      <w:r>
        <w:rPr>
          <w:rFonts w:hint="eastAsia" w:ascii="宋体" w:hAnsi="宋体" w:cs="宋体"/>
          <w:sz w:val="32"/>
        </w:rPr>
        <w:t>做好2021年的财政工作，财税部门倍感任务艰巨，责任重大。我们决心在市委的正确领导下，在市人大、政协的监督支持下，锐意进取，勇于挑战，积极做好各项财政工作，为我市经济发展提供有力支撑！</w:t>
      </w:r>
    </w:p>
    <w:p>
      <w:pPr>
        <w:wordWrap w:val="0"/>
        <w:spacing w:line="600" w:lineRule="exact"/>
        <w:ind w:firstLine="640"/>
        <w:jc w:val="right"/>
        <w:rPr>
          <w:rFonts w:hint="eastAsia" w:ascii="宋体" w:hAnsi="宋体" w:cs="宋体"/>
          <w:sz w:val="32"/>
        </w:rPr>
      </w:pPr>
    </w:p>
    <w:p>
      <w:pPr>
        <w:spacing w:line="600" w:lineRule="exact"/>
        <w:ind w:firstLine="640"/>
        <w:jc w:val="right"/>
        <w:rPr>
          <w:rFonts w:hint="eastAsia" w:ascii="宋体" w:hAnsi="宋体" w:cs="宋体"/>
          <w:sz w:val="32"/>
        </w:rPr>
      </w:pPr>
    </w:p>
    <w:p>
      <w:pPr>
        <w:spacing w:line="600" w:lineRule="exact"/>
        <w:ind w:firstLine="640"/>
        <w:jc w:val="right"/>
        <w:rPr>
          <w:rFonts w:ascii="仿宋_GB2312" w:hAnsi="仿宋" w:eastAsia="仿宋_GB2312" w:cs="仿宋"/>
          <w:sz w:val="32"/>
        </w:rPr>
      </w:pPr>
      <w:r>
        <w:rPr>
          <w:rFonts w:hint="eastAsia" w:ascii="宋体" w:hAnsi="宋体" w:cs="宋体"/>
          <w:sz w:val="32"/>
        </w:rPr>
        <w:t xml:space="preserve">2021年1月22日      </w:t>
      </w:r>
      <w:r>
        <w:rPr>
          <w:rFonts w:hint="eastAsia" w:ascii="仿宋_GB2312" w:hAnsi="仿宋" w:eastAsia="仿宋_GB2312" w:cs="仿宋"/>
          <w:sz w:val="32"/>
        </w:rPr>
        <w:t xml:space="preserve">    </w:t>
      </w:r>
    </w:p>
    <w:sectPr>
      <w:footerReference r:id="rId3" w:type="default"/>
      <w:footerReference r:id="rId4" w:type="even"/>
      <w:pgSz w:w="20580" w:h="14513" w:orient="landscape"/>
      <w:pgMar w:top="1814" w:right="1587" w:bottom="1701" w:left="2098" w:header="851" w:footer="1304"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文本框 5" o:spid="_x0000_s2049"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pStyle w:val="3"/>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- 13 -</w:t>
                </w:r>
                <w:r>
                  <w:rPr>
                    <w:rStyle w:val="7"/>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60"/>
  <w:displayVerticalDrawingGridEvery w:val="2"/>
  <w:noPunctuationKerning w:val="1"/>
  <w:characterSpacingControl w:val="doNotCompress"/>
  <w:noLineBreaksAfter w:lang="zh-CN" w:val="$([{£¥·‘“〈《「『【〔〖〝﹙﹛﹝＄（．［｛￡￥"/>
  <w:noLineBreaksBefore w:lang="zh-CN" w:val="!%),.:;&gt;?]}¢¨°·ˇˉ―‖’”…‰′″›℃∶、。〃〉》」』】〕〗〞︶︺︾﹀﹄﹚﹜﹞！＂％＇），．：；？］｀｜｝～￠"/>
  <w:hdrShapeDefaults>
    <o:shapelayout v:ext="edit">
      <o:idmap v:ext="edit" data="2"/>
    </o:shapelayout>
  </w:hdrShapeDefaults>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0C1"/>
    <w:rsid w:val="00006975"/>
    <w:rsid w:val="00054A6E"/>
    <w:rsid w:val="0006209A"/>
    <w:rsid w:val="00085864"/>
    <w:rsid w:val="00094F7C"/>
    <w:rsid w:val="00097966"/>
    <w:rsid w:val="000A07BF"/>
    <w:rsid w:val="000A4232"/>
    <w:rsid w:val="000A5060"/>
    <w:rsid w:val="000B1B62"/>
    <w:rsid w:val="000B3057"/>
    <w:rsid w:val="000B6899"/>
    <w:rsid w:val="000F0F6B"/>
    <w:rsid w:val="00110C1E"/>
    <w:rsid w:val="0012111E"/>
    <w:rsid w:val="00131CF4"/>
    <w:rsid w:val="00132181"/>
    <w:rsid w:val="00137267"/>
    <w:rsid w:val="0014019B"/>
    <w:rsid w:val="001412D7"/>
    <w:rsid w:val="00147004"/>
    <w:rsid w:val="001500C1"/>
    <w:rsid w:val="00155919"/>
    <w:rsid w:val="001647C1"/>
    <w:rsid w:val="00191980"/>
    <w:rsid w:val="00194C69"/>
    <w:rsid w:val="001B1109"/>
    <w:rsid w:val="001B2641"/>
    <w:rsid w:val="001B620D"/>
    <w:rsid w:val="001C3669"/>
    <w:rsid w:val="001D1BF6"/>
    <w:rsid w:val="001D5E35"/>
    <w:rsid w:val="00231904"/>
    <w:rsid w:val="00243A35"/>
    <w:rsid w:val="00244252"/>
    <w:rsid w:val="002719FC"/>
    <w:rsid w:val="002763CC"/>
    <w:rsid w:val="002840B8"/>
    <w:rsid w:val="0028474C"/>
    <w:rsid w:val="002914BE"/>
    <w:rsid w:val="00291615"/>
    <w:rsid w:val="002925CD"/>
    <w:rsid w:val="00293294"/>
    <w:rsid w:val="002936D2"/>
    <w:rsid w:val="002B09A7"/>
    <w:rsid w:val="002B0DC8"/>
    <w:rsid w:val="002C269D"/>
    <w:rsid w:val="002C3833"/>
    <w:rsid w:val="002C4F1D"/>
    <w:rsid w:val="002D3E42"/>
    <w:rsid w:val="002D71F9"/>
    <w:rsid w:val="002E040B"/>
    <w:rsid w:val="00302301"/>
    <w:rsid w:val="0031322D"/>
    <w:rsid w:val="00315667"/>
    <w:rsid w:val="00335890"/>
    <w:rsid w:val="003531E1"/>
    <w:rsid w:val="003614EE"/>
    <w:rsid w:val="0036485C"/>
    <w:rsid w:val="00372AAD"/>
    <w:rsid w:val="00373C12"/>
    <w:rsid w:val="0039007D"/>
    <w:rsid w:val="00390584"/>
    <w:rsid w:val="00394058"/>
    <w:rsid w:val="00395150"/>
    <w:rsid w:val="003B41B0"/>
    <w:rsid w:val="003B7100"/>
    <w:rsid w:val="003D3633"/>
    <w:rsid w:val="003D4B91"/>
    <w:rsid w:val="003F09D8"/>
    <w:rsid w:val="003F6FB4"/>
    <w:rsid w:val="00404C8E"/>
    <w:rsid w:val="00413184"/>
    <w:rsid w:val="00416C4C"/>
    <w:rsid w:val="004236D6"/>
    <w:rsid w:val="00427FD9"/>
    <w:rsid w:val="00433C68"/>
    <w:rsid w:val="0043695C"/>
    <w:rsid w:val="00441457"/>
    <w:rsid w:val="004533B7"/>
    <w:rsid w:val="00453EB9"/>
    <w:rsid w:val="00454AC2"/>
    <w:rsid w:val="0046045E"/>
    <w:rsid w:val="0046707D"/>
    <w:rsid w:val="004674C7"/>
    <w:rsid w:val="00480A85"/>
    <w:rsid w:val="004836FC"/>
    <w:rsid w:val="00492A8C"/>
    <w:rsid w:val="004A45F0"/>
    <w:rsid w:val="004D5EFB"/>
    <w:rsid w:val="004D7FC0"/>
    <w:rsid w:val="004F25E6"/>
    <w:rsid w:val="00500F3A"/>
    <w:rsid w:val="00515100"/>
    <w:rsid w:val="00532310"/>
    <w:rsid w:val="00541227"/>
    <w:rsid w:val="00545D85"/>
    <w:rsid w:val="00547888"/>
    <w:rsid w:val="00547DF2"/>
    <w:rsid w:val="00573952"/>
    <w:rsid w:val="00575828"/>
    <w:rsid w:val="00590D97"/>
    <w:rsid w:val="005B08D1"/>
    <w:rsid w:val="005B5F0B"/>
    <w:rsid w:val="005C5AF0"/>
    <w:rsid w:val="005C6046"/>
    <w:rsid w:val="005C6C11"/>
    <w:rsid w:val="005C710C"/>
    <w:rsid w:val="005D121A"/>
    <w:rsid w:val="005D2D40"/>
    <w:rsid w:val="005D5C49"/>
    <w:rsid w:val="005D619D"/>
    <w:rsid w:val="005E4B62"/>
    <w:rsid w:val="005E7BCF"/>
    <w:rsid w:val="005F3C16"/>
    <w:rsid w:val="00613F20"/>
    <w:rsid w:val="00616A4F"/>
    <w:rsid w:val="00622ABC"/>
    <w:rsid w:val="00623A63"/>
    <w:rsid w:val="0063053E"/>
    <w:rsid w:val="00633287"/>
    <w:rsid w:val="006541BB"/>
    <w:rsid w:val="006623EA"/>
    <w:rsid w:val="00666A52"/>
    <w:rsid w:val="00667121"/>
    <w:rsid w:val="00671E50"/>
    <w:rsid w:val="0067507B"/>
    <w:rsid w:val="0068064E"/>
    <w:rsid w:val="006868A9"/>
    <w:rsid w:val="006871CD"/>
    <w:rsid w:val="006A1504"/>
    <w:rsid w:val="006A6A4E"/>
    <w:rsid w:val="006A79F4"/>
    <w:rsid w:val="006E2D8A"/>
    <w:rsid w:val="006E46D6"/>
    <w:rsid w:val="006E4B86"/>
    <w:rsid w:val="006F35F0"/>
    <w:rsid w:val="007032AE"/>
    <w:rsid w:val="00705080"/>
    <w:rsid w:val="00710E92"/>
    <w:rsid w:val="00714BAA"/>
    <w:rsid w:val="00714E42"/>
    <w:rsid w:val="00717D87"/>
    <w:rsid w:val="00721307"/>
    <w:rsid w:val="0072548A"/>
    <w:rsid w:val="007365FA"/>
    <w:rsid w:val="00742DD4"/>
    <w:rsid w:val="007467E2"/>
    <w:rsid w:val="007524EF"/>
    <w:rsid w:val="007645D2"/>
    <w:rsid w:val="00771CFA"/>
    <w:rsid w:val="00777590"/>
    <w:rsid w:val="007918F5"/>
    <w:rsid w:val="00794914"/>
    <w:rsid w:val="007C4EA6"/>
    <w:rsid w:val="007C5EC7"/>
    <w:rsid w:val="007D02B2"/>
    <w:rsid w:val="007D6CA1"/>
    <w:rsid w:val="007E3C47"/>
    <w:rsid w:val="007E50DA"/>
    <w:rsid w:val="00801AD2"/>
    <w:rsid w:val="00801C40"/>
    <w:rsid w:val="008104ED"/>
    <w:rsid w:val="008148C1"/>
    <w:rsid w:val="00827A5F"/>
    <w:rsid w:val="00851718"/>
    <w:rsid w:val="008541A6"/>
    <w:rsid w:val="00856CD3"/>
    <w:rsid w:val="0086659D"/>
    <w:rsid w:val="00893BAB"/>
    <w:rsid w:val="00895005"/>
    <w:rsid w:val="008965C7"/>
    <w:rsid w:val="008A0A3A"/>
    <w:rsid w:val="008A4960"/>
    <w:rsid w:val="008C7477"/>
    <w:rsid w:val="008D16B4"/>
    <w:rsid w:val="008D2042"/>
    <w:rsid w:val="008D24F3"/>
    <w:rsid w:val="008E3545"/>
    <w:rsid w:val="00903B78"/>
    <w:rsid w:val="00910C8D"/>
    <w:rsid w:val="009142DB"/>
    <w:rsid w:val="00932123"/>
    <w:rsid w:val="00932437"/>
    <w:rsid w:val="00935B32"/>
    <w:rsid w:val="00937DA6"/>
    <w:rsid w:val="00944DE6"/>
    <w:rsid w:val="00945F59"/>
    <w:rsid w:val="00947996"/>
    <w:rsid w:val="0095538B"/>
    <w:rsid w:val="00960720"/>
    <w:rsid w:val="009814D2"/>
    <w:rsid w:val="00992A58"/>
    <w:rsid w:val="00997752"/>
    <w:rsid w:val="009A36BD"/>
    <w:rsid w:val="009A6B1E"/>
    <w:rsid w:val="009C5BC1"/>
    <w:rsid w:val="009D2AC4"/>
    <w:rsid w:val="009F078F"/>
    <w:rsid w:val="009F0B8E"/>
    <w:rsid w:val="00A0201F"/>
    <w:rsid w:val="00A1431B"/>
    <w:rsid w:val="00A14DC2"/>
    <w:rsid w:val="00A15275"/>
    <w:rsid w:val="00A178A8"/>
    <w:rsid w:val="00A23718"/>
    <w:rsid w:val="00A32BC5"/>
    <w:rsid w:val="00A34D53"/>
    <w:rsid w:val="00A412DA"/>
    <w:rsid w:val="00A4190C"/>
    <w:rsid w:val="00A42F04"/>
    <w:rsid w:val="00A44C83"/>
    <w:rsid w:val="00A5136C"/>
    <w:rsid w:val="00A5262A"/>
    <w:rsid w:val="00A64E4F"/>
    <w:rsid w:val="00A81859"/>
    <w:rsid w:val="00A83CDE"/>
    <w:rsid w:val="00A96580"/>
    <w:rsid w:val="00A96F3D"/>
    <w:rsid w:val="00AA3730"/>
    <w:rsid w:val="00AB50C6"/>
    <w:rsid w:val="00AB6B6C"/>
    <w:rsid w:val="00AE2820"/>
    <w:rsid w:val="00B11871"/>
    <w:rsid w:val="00B207ED"/>
    <w:rsid w:val="00B223B2"/>
    <w:rsid w:val="00B35540"/>
    <w:rsid w:val="00B74017"/>
    <w:rsid w:val="00B76E42"/>
    <w:rsid w:val="00B85B4C"/>
    <w:rsid w:val="00BA2AD0"/>
    <w:rsid w:val="00BA6EB1"/>
    <w:rsid w:val="00BD06C4"/>
    <w:rsid w:val="00BE457B"/>
    <w:rsid w:val="00BF2355"/>
    <w:rsid w:val="00BF2747"/>
    <w:rsid w:val="00C04A02"/>
    <w:rsid w:val="00C14F07"/>
    <w:rsid w:val="00C2101C"/>
    <w:rsid w:val="00C26481"/>
    <w:rsid w:val="00C65D80"/>
    <w:rsid w:val="00C66952"/>
    <w:rsid w:val="00C710E0"/>
    <w:rsid w:val="00C859A2"/>
    <w:rsid w:val="00CB4220"/>
    <w:rsid w:val="00CD3887"/>
    <w:rsid w:val="00CE65CF"/>
    <w:rsid w:val="00D131EE"/>
    <w:rsid w:val="00D214C8"/>
    <w:rsid w:val="00D2321F"/>
    <w:rsid w:val="00D37C48"/>
    <w:rsid w:val="00D66BE8"/>
    <w:rsid w:val="00D963FB"/>
    <w:rsid w:val="00D977C8"/>
    <w:rsid w:val="00DB0E69"/>
    <w:rsid w:val="00DB5744"/>
    <w:rsid w:val="00DB793F"/>
    <w:rsid w:val="00DD1892"/>
    <w:rsid w:val="00DD18C9"/>
    <w:rsid w:val="00DE61AF"/>
    <w:rsid w:val="00DF256B"/>
    <w:rsid w:val="00DF4E6F"/>
    <w:rsid w:val="00DF672E"/>
    <w:rsid w:val="00E01B50"/>
    <w:rsid w:val="00E027C0"/>
    <w:rsid w:val="00E15D22"/>
    <w:rsid w:val="00E378C4"/>
    <w:rsid w:val="00E45A50"/>
    <w:rsid w:val="00E46FA2"/>
    <w:rsid w:val="00E5102C"/>
    <w:rsid w:val="00E52B8D"/>
    <w:rsid w:val="00E57B6A"/>
    <w:rsid w:val="00E60717"/>
    <w:rsid w:val="00E63903"/>
    <w:rsid w:val="00E976E6"/>
    <w:rsid w:val="00EA2114"/>
    <w:rsid w:val="00EA4075"/>
    <w:rsid w:val="00EA40C5"/>
    <w:rsid w:val="00EB1531"/>
    <w:rsid w:val="00EB6759"/>
    <w:rsid w:val="00EC0782"/>
    <w:rsid w:val="00ED76EC"/>
    <w:rsid w:val="00EE2D1C"/>
    <w:rsid w:val="00EE5C96"/>
    <w:rsid w:val="00F0494D"/>
    <w:rsid w:val="00F12187"/>
    <w:rsid w:val="00F165EE"/>
    <w:rsid w:val="00F17307"/>
    <w:rsid w:val="00F214D6"/>
    <w:rsid w:val="00F21503"/>
    <w:rsid w:val="00F403EE"/>
    <w:rsid w:val="00F64792"/>
    <w:rsid w:val="00F76995"/>
    <w:rsid w:val="00F90F16"/>
    <w:rsid w:val="00FA0DCF"/>
    <w:rsid w:val="00FA1AF3"/>
    <w:rsid w:val="00FA1F56"/>
    <w:rsid w:val="00FC3B71"/>
    <w:rsid w:val="00FD252B"/>
    <w:rsid w:val="00FE2A2A"/>
    <w:rsid w:val="00FE4FA5"/>
    <w:rsid w:val="0DFA48F9"/>
    <w:rsid w:val="0FD304D6"/>
    <w:rsid w:val="116D4993"/>
    <w:rsid w:val="20415484"/>
    <w:rsid w:val="21406688"/>
    <w:rsid w:val="3A602BFA"/>
    <w:rsid w:val="53AD1773"/>
    <w:rsid w:val="661F281A"/>
    <w:rsid w:val="770F2D6E"/>
    <w:rsid w:val="7D323451"/>
    <w:rsid w:val="7FDA01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paragraph" w:customStyle="1" w:styleId="8">
    <w:name w:val="纯文本1"/>
    <w:basedOn w:val="1"/>
    <w:uiPriority w:val="0"/>
    <w:pPr>
      <w:adjustRightInd w:val="0"/>
      <w:textAlignment w:val="baseline"/>
    </w:pPr>
    <w:rPr>
      <w:rFonts w:ascii="宋体" w:hAnsi="Courier New"/>
      <w:szCs w:val="20"/>
    </w:rPr>
  </w:style>
  <w:style w:type="character" w:customStyle="1" w:styleId="9">
    <w:name w:val="页眉 Char"/>
    <w:basedOn w:val="6"/>
    <w:link w:val="4"/>
    <w:semiHidden/>
    <w:qFormat/>
    <w:locked/>
    <w:uiPriority w:val="99"/>
    <w:rPr>
      <w:rFonts w:cs="Times New Roman"/>
      <w:sz w:val="18"/>
      <w:szCs w:val="18"/>
    </w:rPr>
  </w:style>
  <w:style w:type="character" w:customStyle="1" w:styleId="10">
    <w:name w:val="页脚 Char"/>
    <w:basedOn w:val="6"/>
    <w:link w:val="3"/>
    <w:semiHidden/>
    <w:qFormat/>
    <w:locked/>
    <w:uiPriority w:val="99"/>
    <w:rPr>
      <w:rFonts w:cs="Times New Roman"/>
      <w:sz w:val="18"/>
      <w:szCs w:val="18"/>
    </w:rPr>
  </w:style>
  <w:style w:type="character" w:customStyle="1" w:styleId="11">
    <w:name w:val="批注框文本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1577</Words>
  <Characters>8993</Characters>
  <Lines>74</Lines>
  <Paragraphs>21</Paragraphs>
  <TotalTime>1</TotalTime>
  <ScaleCrop>false</ScaleCrop>
  <LinksUpToDate>false</LinksUpToDate>
  <CharactersWithSpaces>10549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2017-10-31T06:51:00Z</dcterms:created>
  <dc:creator>Administrator</dc:creator>
  <cp:lastModifiedBy>Administrator</cp:lastModifiedBy>
  <cp:lastPrinted>2020-07-15T07:08:00Z</cp:lastPrinted>
  <dcterms:modified xsi:type="dcterms:W3CDTF">2021-08-11T16:10:57Z</dcterms:modified>
  <dc:title>永济市财政局</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