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20" w:lineRule="exact"/>
        <w:ind w:firstLine="880" w:firstLineChars="200"/>
        <w:jc w:val="center"/>
        <w:rPr>
          <w:rFonts w:ascii="方正小标宋简体" w:hAnsi="方正小标宋简体" w:eastAsia="方正小标宋简体" w:cs="方正小标宋简体"/>
          <w:bCs/>
          <w:sz w:val="44"/>
        </w:rPr>
      </w:pPr>
      <w:r>
        <w:rPr>
          <w:rFonts w:hint="eastAsia" w:ascii="方正小标宋简体" w:hAnsi="方正小标宋简体" w:eastAsia="方正小标宋简体" w:cs="方正小标宋简体"/>
          <w:bCs/>
          <w:sz w:val="44"/>
        </w:rPr>
        <w:t>永济市财政局</w:t>
      </w:r>
    </w:p>
    <w:p>
      <w:pPr>
        <w:spacing w:line="620" w:lineRule="exact"/>
        <w:ind w:firstLine="880" w:firstLineChars="200"/>
        <w:jc w:val="center"/>
        <w:rPr>
          <w:rFonts w:ascii="方正小标宋简体" w:hAnsi="方正小标宋简体" w:eastAsia="方正小标宋简体" w:cs="方正小标宋简体"/>
          <w:bCs/>
          <w:sz w:val="44"/>
        </w:rPr>
      </w:pPr>
      <w:r>
        <w:rPr>
          <w:rFonts w:hint="eastAsia" w:ascii="方正小标宋简体" w:hAnsi="方正小标宋简体" w:eastAsia="方正小标宋简体" w:cs="方正小标宋简体"/>
          <w:bCs/>
          <w:sz w:val="44"/>
        </w:rPr>
        <w:t>2020年财政总决算分析报告</w:t>
      </w:r>
    </w:p>
    <w:p>
      <w:pPr>
        <w:spacing w:line="580" w:lineRule="exact"/>
        <w:ind w:firstLine="640" w:firstLineChars="200"/>
        <w:rPr>
          <w:rFonts w:ascii="Times New Roman" w:hAnsi="Times New Roman"/>
          <w:sz w:val="32"/>
          <w:szCs w:val="32"/>
        </w:rPr>
      </w:pPr>
    </w:p>
    <w:p>
      <w:pPr>
        <w:spacing w:line="580" w:lineRule="exact"/>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2020年，是永济发展历程中极不平凡的一年，全市上下以习近平新时代中国特色社会主义思想为指导，统筹推进疫情防控和经济社会发展，聚力“六稳”“六保”“六新”,在挑战中争取主动，在困难中砥砺前行。在市委的正确领导和市人大、市政协的监督支持下，全市上下紧紧围绕经济发展的总体目标，财税部门努力克服新型冠状病毒感染肺炎疫情带来的影响，狠抓收入征管，积极争取转移支付资金，优化支出结构，严格执行人代会批准的收支预算，较好的完成了各项目标任务，有力地支持了全市经济发展。</w:t>
      </w:r>
    </w:p>
    <w:p>
      <w:pPr>
        <w:spacing w:line="580" w:lineRule="exact"/>
        <w:ind w:firstLine="640" w:firstLineChars="200"/>
        <w:rPr>
          <w:rFonts w:asciiTheme="minorEastAsia" w:hAnsiTheme="minorEastAsia" w:eastAsiaTheme="minorEastAsia"/>
          <w:sz w:val="32"/>
          <w:szCs w:val="32"/>
        </w:rPr>
      </w:pPr>
      <w:r>
        <w:rPr>
          <w:rFonts w:hint="eastAsia" w:ascii="黑体" w:hAnsi="黑体" w:eastAsia="黑体"/>
          <w:sz w:val="32"/>
          <w:szCs w:val="32"/>
        </w:rPr>
        <w:t>一、政府性收支总体情况</w:t>
      </w:r>
    </w:p>
    <w:p>
      <w:pPr>
        <w:spacing w:line="580" w:lineRule="exact"/>
        <w:ind w:firstLine="640" w:firstLineChars="200"/>
        <w:rPr>
          <w:rFonts w:ascii="宋体" w:hAnsi="宋体" w:cs="宋体"/>
          <w:sz w:val="32"/>
        </w:rPr>
      </w:pPr>
      <w:r>
        <w:rPr>
          <w:rFonts w:hint="eastAsia" w:ascii="宋体" w:hAnsi="宋体" w:cs="宋体"/>
          <w:sz w:val="32"/>
          <w:szCs w:val="32"/>
        </w:rPr>
        <w:t>按照2020年总决算报表体系划分，我市政府性收支主要由三大部分组成：一般公共决算、政府性基金决算和国有资本经营决算。</w:t>
      </w:r>
    </w:p>
    <w:p>
      <w:pPr>
        <w:spacing w:line="580" w:lineRule="exact"/>
        <w:ind w:firstLine="643" w:firstLineChars="200"/>
        <w:rPr>
          <w:rFonts w:ascii="宋体" w:hAnsi="宋体" w:cs="宋体"/>
          <w:b/>
          <w:bCs/>
          <w:sz w:val="32"/>
          <w:szCs w:val="32"/>
        </w:rPr>
      </w:pPr>
      <w:r>
        <w:rPr>
          <w:rFonts w:hint="eastAsia" w:ascii="宋体" w:hAnsi="宋体" w:cs="宋体"/>
          <w:b/>
          <w:bCs/>
          <w:sz w:val="32"/>
          <w:szCs w:val="32"/>
        </w:rPr>
        <w:t>（一）全市政府性收支总况</w:t>
      </w:r>
    </w:p>
    <w:p>
      <w:pPr>
        <w:spacing w:line="580" w:lineRule="exact"/>
        <w:ind w:firstLine="640" w:firstLineChars="200"/>
        <w:rPr>
          <w:rFonts w:ascii="宋体" w:hAnsi="宋体" w:cs="宋体"/>
          <w:sz w:val="32"/>
          <w:szCs w:val="32"/>
        </w:rPr>
      </w:pPr>
      <w:r>
        <w:rPr>
          <w:rFonts w:hint="eastAsia" w:ascii="宋体" w:hAnsi="宋体" w:cs="宋体"/>
          <w:sz w:val="32"/>
          <w:szCs w:val="32"/>
        </w:rPr>
        <w:t xml:space="preserve">2020年全市政府性收入完成93240万元，其中一般公共预算50152万元，政府性基金43082万元，国有资本经营6万元。   </w:t>
      </w:r>
    </w:p>
    <w:p>
      <w:pPr>
        <w:spacing w:line="580" w:lineRule="exact"/>
        <w:ind w:firstLine="640" w:firstLineChars="200"/>
        <w:rPr>
          <w:rFonts w:ascii="宋体" w:hAnsi="宋体" w:cs="宋体"/>
          <w:sz w:val="32"/>
          <w:szCs w:val="32"/>
        </w:rPr>
      </w:pPr>
      <w:r>
        <w:rPr>
          <w:rFonts w:hint="eastAsia" w:ascii="宋体" w:hAnsi="宋体" w:cs="宋体"/>
          <w:sz w:val="32"/>
          <w:szCs w:val="32"/>
        </w:rPr>
        <w:t>2020年全市政府性支出完成346065万元，其中一般公共预算297880万元，政府性基金46616万元，国有资本经营1569万元。</w:t>
      </w:r>
    </w:p>
    <w:p>
      <w:pPr>
        <w:spacing w:line="580" w:lineRule="exact"/>
        <w:ind w:firstLine="643" w:firstLineChars="200"/>
        <w:rPr>
          <w:rFonts w:ascii="宋体" w:hAnsi="宋体" w:cs="宋体"/>
          <w:b/>
          <w:bCs/>
          <w:sz w:val="32"/>
          <w:szCs w:val="32"/>
        </w:rPr>
      </w:pPr>
      <w:r>
        <w:rPr>
          <w:rFonts w:hint="eastAsia" w:ascii="宋体" w:hAnsi="宋体" w:cs="宋体"/>
          <w:b/>
          <w:bCs/>
          <w:sz w:val="32"/>
          <w:szCs w:val="32"/>
        </w:rPr>
        <w:t>（二）</w:t>
      </w:r>
      <w:bookmarkStart w:id="0" w:name="政府性收支平衡情况"/>
      <w:r>
        <w:rPr>
          <w:rFonts w:hint="eastAsia" w:ascii="宋体" w:hAnsi="宋体" w:cs="宋体"/>
          <w:b/>
          <w:bCs/>
          <w:sz w:val="32"/>
          <w:szCs w:val="32"/>
        </w:rPr>
        <w:t>政府性收支平衡情况</w:t>
      </w:r>
      <w:bookmarkEnd w:id="0"/>
    </w:p>
    <w:p>
      <w:pPr>
        <w:spacing w:line="580" w:lineRule="exact"/>
        <w:ind w:firstLine="640"/>
        <w:rPr>
          <w:rFonts w:ascii="宋体" w:hAnsi="宋体" w:cs="宋体"/>
          <w:sz w:val="32"/>
        </w:rPr>
      </w:pPr>
      <w:r>
        <w:rPr>
          <w:rFonts w:hint="eastAsia" w:ascii="宋体" w:hAnsi="宋体" w:cs="宋体"/>
          <w:sz w:val="32"/>
        </w:rPr>
        <w:t>2020年一般公共预算收入50152万元，上级补助收入231196万元（返还性收入1604万元、一般性转移支付202821万元、专项转移支付26771万元），债务转贷收入15000万元，上年结余2507万元，动用预算稳定调节基金15009万元，调入资金8324万元，收入总计322188万元。一般公共预算支出297880万元，上解上级支出9908万元，</w:t>
      </w:r>
      <w:r>
        <w:rPr>
          <w:rFonts w:hint="eastAsia" w:ascii="宋体" w:hAnsi="宋体" w:cs="宋体"/>
          <w:sz w:val="32"/>
          <w:lang w:eastAsia="zh-CN"/>
        </w:rPr>
        <w:t>债务还本支出</w:t>
      </w:r>
      <w:r>
        <w:rPr>
          <w:rFonts w:hint="eastAsia" w:ascii="宋体" w:hAnsi="宋体" w:cs="宋体"/>
          <w:sz w:val="32"/>
          <w:lang w:val="en-US" w:eastAsia="zh-CN"/>
        </w:rPr>
        <w:t>3500万元，</w:t>
      </w:r>
      <w:r>
        <w:rPr>
          <w:rFonts w:hint="eastAsia" w:ascii="宋体" w:hAnsi="宋体" w:cs="宋体"/>
          <w:sz w:val="32"/>
        </w:rPr>
        <w:t>安排预算稳定调节基金7269万元，年终结余3631万元，支出总计322188万元。</w:t>
      </w:r>
    </w:p>
    <w:p>
      <w:pPr>
        <w:spacing w:line="580" w:lineRule="exact"/>
        <w:ind w:firstLine="640"/>
        <w:rPr>
          <w:rFonts w:ascii="宋体" w:hAnsi="宋体" w:cs="宋体"/>
          <w:sz w:val="32"/>
        </w:rPr>
      </w:pPr>
      <w:r>
        <w:rPr>
          <w:rFonts w:hint="eastAsia" w:ascii="宋体" w:hAnsi="宋体" w:cs="宋体"/>
          <w:sz w:val="32"/>
        </w:rPr>
        <w:t>2020年政府性基金收入43082万元，上级补助收入7600万元，债务转贷收入9000万元，政府性基金上年结余11470万元，收入总计71152万元。政府性基金支出46616万元，调出资金6794万元，债务还本支出5000万元，年终结余12742万元，支出总计71152万元。</w:t>
      </w:r>
    </w:p>
    <w:p>
      <w:pPr>
        <w:spacing w:line="580" w:lineRule="exact"/>
        <w:ind w:firstLine="640" w:firstLineChars="200"/>
        <w:rPr>
          <w:rFonts w:ascii="宋体" w:hAnsi="宋体" w:cs="宋体"/>
          <w:sz w:val="32"/>
        </w:rPr>
      </w:pPr>
      <w:r>
        <w:rPr>
          <w:rFonts w:hint="eastAsia" w:ascii="宋体" w:hAnsi="宋体" w:cs="宋体"/>
          <w:sz w:val="32"/>
        </w:rPr>
        <w:t>2020年国有资本经营预算收入6万元，上级补助收入1564万元，上年结余2万元，收入总计1572万元。国有资本经营支出1569万元，</w:t>
      </w:r>
      <w:r>
        <w:rPr>
          <w:rFonts w:hint="eastAsia" w:ascii="宋体" w:hAnsi="宋体" w:cs="宋体"/>
          <w:sz w:val="32"/>
          <w:lang w:eastAsia="zh-CN"/>
        </w:rPr>
        <w:t>调出资金</w:t>
      </w:r>
      <w:r>
        <w:rPr>
          <w:rFonts w:hint="eastAsia" w:ascii="宋体" w:hAnsi="宋体" w:cs="宋体"/>
          <w:sz w:val="32"/>
        </w:rPr>
        <w:t>3万元，支出总计1572万元。</w:t>
      </w:r>
    </w:p>
    <w:p>
      <w:pPr>
        <w:spacing w:line="580" w:lineRule="exact"/>
        <w:ind w:firstLine="640" w:firstLineChars="200"/>
        <w:rPr>
          <w:rFonts w:ascii="黑体" w:hAnsi="黑体" w:eastAsia="黑体"/>
          <w:sz w:val="32"/>
          <w:szCs w:val="32"/>
        </w:rPr>
      </w:pPr>
      <w:r>
        <w:rPr>
          <w:rFonts w:hint="eastAsia" w:ascii="黑体" w:hAnsi="黑体" w:eastAsia="黑体"/>
          <w:sz w:val="32"/>
          <w:szCs w:val="32"/>
        </w:rPr>
        <w:t>二、全市财政总收入情况</w:t>
      </w:r>
    </w:p>
    <w:p>
      <w:pPr>
        <w:spacing w:line="580" w:lineRule="exact"/>
        <w:rPr>
          <w:rFonts w:ascii="宋体" w:hAnsi="宋体" w:cs="宋体"/>
          <w:b/>
          <w:bCs/>
          <w:sz w:val="32"/>
          <w:szCs w:val="32"/>
        </w:rPr>
      </w:pPr>
      <w:r>
        <w:rPr>
          <w:rFonts w:hint="eastAsia" w:ascii="仿宋_GB2312" w:hAnsi="楷体" w:eastAsia="仿宋_GB2312"/>
          <w:b/>
          <w:bCs/>
          <w:sz w:val="32"/>
          <w:szCs w:val="32"/>
        </w:rPr>
        <w:t xml:space="preserve">   </w:t>
      </w:r>
      <w:r>
        <w:rPr>
          <w:rFonts w:hint="eastAsia" w:ascii="宋体" w:hAnsi="宋体" w:cs="宋体"/>
          <w:b/>
          <w:bCs/>
          <w:sz w:val="32"/>
          <w:szCs w:val="32"/>
        </w:rPr>
        <w:t xml:space="preserve"> （一）财政总收入基本情况</w:t>
      </w:r>
    </w:p>
    <w:p>
      <w:pPr>
        <w:spacing w:line="580" w:lineRule="exact"/>
        <w:ind w:firstLine="640"/>
        <w:rPr>
          <w:rFonts w:ascii="宋体" w:hAnsi="宋体" w:cs="宋体"/>
          <w:sz w:val="32"/>
        </w:rPr>
      </w:pPr>
      <w:r>
        <w:rPr>
          <w:rFonts w:hint="eastAsia" w:ascii="宋体" w:hAnsi="宋体" w:cs="宋体"/>
          <w:sz w:val="32"/>
        </w:rPr>
        <w:t>2020年，全市财政总收入完成81857万元，比上年同期增长2.9%，增收2292万元。财政总收入总量排名全市第八名，增长排名全市第七名。</w:t>
      </w:r>
    </w:p>
    <w:p>
      <w:pPr>
        <w:spacing w:line="580" w:lineRule="exact"/>
        <w:ind w:firstLine="640"/>
        <w:rPr>
          <w:rFonts w:ascii="宋体" w:hAnsi="宋体" w:cs="宋体"/>
          <w:b/>
          <w:bCs/>
          <w:sz w:val="32"/>
        </w:rPr>
      </w:pPr>
      <w:r>
        <w:rPr>
          <w:rFonts w:hint="eastAsia" w:ascii="宋体" w:hAnsi="宋体" w:cs="宋体"/>
          <w:b/>
          <w:bCs/>
          <w:sz w:val="32"/>
          <w:szCs w:val="32"/>
        </w:rPr>
        <w:t>（二）财政总收入结构情况</w:t>
      </w:r>
    </w:p>
    <w:p>
      <w:pPr>
        <w:spacing w:line="580" w:lineRule="exact"/>
        <w:ind w:firstLine="640"/>
        <w:rPr>
          <w:rFonts w:ascii="宋体" w:hAnsi="宋体" w:cs="宋体"/>
          <w:sz w:val="32"/>
          <w:szCs w:val="32"/>
        </w:rPr>
      </w:pPr>
      <w:r>
        <w:rPr>
          <w:rFonts w:hint="eastAsia" w:ascii="宋体" w:hAnsi="宋体" w:cs="宋体"/>
          <w:sz w:val="32"/>
          <w:szCs w:val="32"/>
        </w:rPr>
        <w:t xml:space="preserve"> 1.分级次情况,</w:t>
      </w:r>
      <w:r>
        <w:rPr>
          <w:rFonts w:hint="eastAsia" w:ascii="宋体" w:hAnsi="宋体" w:cs="宋体"/>
          <w:sz w:val="32"/>
        </w:rPr>
        <w:t xml:space="preserve"> 上划中央24707万元，</w:t>
      </w:r>
      <w:r>
        <w:rPr>
          <w:rFonts w:hint="eastAsia" w:ascii="宋体" w:hAnsi="宋体" w:cs="宋体"/>
          <w:sz w:val="32"/>
          <w:szCs w:val="32"/>
        </w:rPr>
        <w:t>比上年增长1.9%，增收4511万元，占财政总收入比重30.2%。</w:t>
      </w:r>
      <w:r>
        <w:rPr>
          <w:rFonts w:hint="eastAsia" w:ascii="宋体" w:hAnsi="宋体" w:cs="宋体"/>
          <w:sz w:val="32"/>
        </w:rPr>
        <w:t>上划省级6998万元，</w:t>
      </w:r>
      <w:r>
        <w:rPr>
          <w:rFonts w:hint="eastAsia" w:ascii="宋体" w:hAnsi="宋体" w:cs="宋体"/>
          <w:sz w:val="32"/>
          <w:szCs w:val="32"/>
        </w:rPr>
        <w:t>比上年增长2.9%，增收196万元，占财政总收入比重8.5%</w:t>
      </w:r>
      <w:r>
        <w:rPr>
          <w:rFonts w:hint="eastAsia" w:ascii="宋体" w:hAnsi="宋体" w:cs="宋体"/>
          <w:sz w:val="32"/>
        </w:rPr>
        <w:t>。</w:t>
      </w:r>
      <w:r>
        <w:rPr>
          <w:rFonts w:hint="eastAsia" w:ascii="宋体" w:hAnsi="宋体" w:cs="宋体"/>
          <w:sz w:val="32"/>
          <w:szCs w:val="32"/>
        </w:rPr>
        <w:t>一般公共预算收入完成</w:t>
      </w:r>
      <w:r>
        <w:rPr>
          <w:rFonts w:hint="eastAsia" w:ascii="宋体" w:hAnsi="宋体" w:cs="宋体"/>
          <w:sz w:val="32"/>
        </w:rPr>
        <w:t>50152</w:t>
      </w:r>
      <w:r>
        <w:rPr>
          <w:rFonts w:hint="eastAsia" w:ascii="宋体" w:hAnsi="宋体" w:cs="宋体"/>
          <w:sz w:val="32"/>
          <w:szCs w:val="32"/>
        </w:rPr>
        <w:t>，比上年增长3.4%，增收1645万元，占财政收入比重61.3%。</w:t>
      </w:r>
    </w:p>
    <w:p>
      <w:pPr>
        <w:spacing w:line="580" w:lineRule="exact"/>
        <w:ind w:firstLine="640"/>
        <w:rPr>
          <w:rFonts w:ascii="宋体" w:hAnsi="宋体" w:cs="宋体"/>
          <w:sz w:val="32"/>
        </w:rPr>
      </w:pPr>
      <w:r>
        <w:rPr>
          <w:rFonts w:hint="eastAsia" w:ascii="宋体" w:hAnsi="宋体" w:cs="宋体"/>
          <w:sz w:val="32"/>
          <w:szCs w:val="32"/>
        </w:rPr>
        <w:t>2.分部门情况，</w:t>
      </w:r>
      <w:r>
        <w:rPr>
          <w:rFonts w:hint="eastAsia" w:ascii="宋体" w:hAnsi="宋体" w:cs="宋体"/>
          <w:sz w:val="32"/>
        </w:rPr>
        <w:t>税务部门完成62210万元，占年初计划64066万元的97.1%，短收1856万元，比上年60927万元增长2.1%，增收1283万元，</w:t>
      </w:r>
      <w:r>
        <w:rPr>
          <w:rFonts w:hint="eastAsia" w:ascii="宋体" w:hAnsi="宋体" w:cs="宋体"/>
          <w:sz w:val="32"/>
          <w:szCs w:val="32"/>
        </w:rPr>
        <w:t>占财政总收入比重76%</w:t>
      </w:r>
      <w:r>
        <w:rPr>
          <w:rFonts w:hint="eastAsia" w:ascii="宋体" w:hAnsi="宋体" w:cs="宋体"/>
          <w:sz w:val="32"/>
        </w:rPr>
        <w:t>。财政部门完成19647万元，占年初计划17107万元的114.8%，超收2540万元，比上年18638万元增长5.4%，增收1009万元，</w:t>
      </w:r>
      <w:r>
        <w:rPr>
          <w:rFonts w:hint="eastAsia" w:ascii="宋体" w:hAnsi="宋体" w:cs="宋体"/>
          <w:sz w:val="32"/>
          <w:szCs w:val="32"/>
        </w:rPr>
        <w:t>占财政总收入比重24%</w:t>
      </w:r>
      <w:r>
        <w:rPr>
          <w:rFonts w:hint="eastAsia" w:ascii="宋体" w:hAnsi="宋体" w:cs="宋体"/>
          <w:sz w:val="32"/>
        </w:rPr>
        <w:t>。税收收入占财政收入比重与上年基本持平。</w:t>
      </w:r>
    </w:p>
    <w:p>
      <w:pPr>
        <w:ind w:firstLine="640"/>
        <w:jc w:val="center"/>
        <w:rPr>
          <w:rFonts w:ascii="仿宋_GB2312" w:hAnsi="仿宋" w:eastAsia="仿宋_GB2312" w:cs="仿宋"/>
          <w:sz w:val="32"/>
        </w:rPr>
      </w:pPr>
      <w:r>
        <w:pict>
          <v:shape id="_x0000_i1025" o:spt="75" type="#_x0000_t75" style="height:207pt;width:318.75pt;" filled="f" o:preferrelative="t" stroked="f" coordsize="21600,21600"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">
            <v:path/>
            <v:fill on="f" focussize="0,0"/>
            <v:stroke on="f" joinstyle="miter"/>
            <v:imagedata r:id="rId6" o:title=""/>
            <o:lock v:ext="edit" aspectratio="f"/>
            <w10:wrap type="none"/>
            <w10:anchorlock/>
          </v:shape>
        </w:pict>
      </w:r>
      <w:r>
        <w:pict>
          <v:shape id="_x0000_i1026" o:spt="75" type="#_x0000_t75" style="height:208.5pt;width:310.5pt;" filled="f" o:preferrelative="t" stroked="f" coordsize="21600,21600"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">
            <v:path/>
            <v:fill on="f" focussize="0,0"/>
            <v:stroke on="f" joinstyle="miter"/>
            <v:imagedata r:id="rId7" cropbottom="-47f" o:title=""/>
            <o:lock v:ext="edit" aspectratio="f"/>
            <w10:wrap type="none"/>
            <w10:anchorlock/>
          </v:shape>
        </w:pict>
      </w:r>
    </w:p>
    <w:p>
      <w:pPr>
        <w:spacing w:line="600" w:lineRule="exact"/>
        <w:ind w:firstLine="640" w:firstLineChars="200"/>
        <w:rPr>
          <w:rFonts w:ascii="仿宋_GB2312" w:hAnsi="仿宋" w:eastAsia="仿宋_GB2312" w:cs="仿宋"/>
          <w:sz w:val="32"/>
        </w:rPr>
      </w:pPr>
      <w:r>
        <w:rPr>
          <w:rFonts w:hint="eastAsia" w:ascii="黑体" w:hAnsi="黑体" w:eastAsia="黑体"/>
          <w:sz w:val="32"/>
          <w:szCs w:val="32"/>
        </w:rPr>
        <w:t>三、全市一般公共预算收支情况</w:t>
      </w:r>
    </w:p>
    <w:p>
      <w:pPr>
        <w:spacing w:line="600" w:lineRule="exact"/>
        <w:ind w:firstLine="643" w:firstLineChars="200"/>
        <w:rPr>
          <w:rFonts w:ascii="宋体" w:hAnsi="宋体" w:cs="宋体"/>
          <w:b/>
          <w:bCs/>
          <w:sz w:val="32"/>
        </w:rPr>
      </w:pPr>
      <w:r>
        <w:rPr>
          <w:rFonts w:hint="eastAsia" w:ascii="宋体" w:hAnsi="宋体" w:cs="宋体"/>
          <w:b/>
          <w:bCs/>
          <w:sz w:val="32"/>
          <w:szCs w:val="32"/>
        </w:rPr>
        <w:t>(一）一般公共预算收入完成情况</w:t>
      </w:r>
    </w:p>
    <w:p>
      <w:pPr>
        <w:spacing w:line="600" w:lineRule="exact"/>
        <w:ind w:firstLine="640" w:firstLineChars="200"/>
        <w:rPr>
          <w:rFonts w:ascii="宋体" w:hAnsi="宋体" w:cs="宋体"/>
          <w:sz w:val="32"/>
        </w:rPr>
      </w:pPr>
      <w:r>
        <w:rPr>
          <w:rFonts w:hint="eastAsia" w:ascii="宋体" w:hAnsi="宋体" w:cs="宋体"/>
          <w:kern w:val="0"/>
          <w:sz w:val="32"/>
          <w:szCs w:val="32"/>
        </w:rPr>
        <w:t>2020年，</w:t>
      </w:r>
      <w:r>
        <w:rPr>
          <w:rFonts w:hint="eastAsia" w:ascii="宋体" w:hAnsi="宋体" w:cs="宋体"/>
          <w:sz w:val="32"/>
        </w:rPr>
        <w:t>我市一般公共预算收入完成50152万元，占年初预算49963万元的100.4%，超收189万元，比上年48507万元增长3.4%，增收1645万元。一般公共预算收入总量排名全市第四名，增长排名全市第八名。</w:t>
      </w:r>
    </w:p>
    <w:p>
      <w:pPr>
        <w:spacing w:line="600" w:lineRule="exact"/>
        <w:ind w:firstLine="640" w:firstLineChars="200"/>
        <w:rPr>
          <w:rFonts w:ascii="宋体" w:hAnsi="宋体" w:cs="宋体"/>
          <w:sz w:val="32"/>
        </w:rPr>
      </w:pPr>
      <w:r>
        <w:rPr>
          <w:rFonts w:hint="eastAsia" w:ascii="宋体" w:hAnsi="宋体" w:cs="宋体"/>
          <w:sz w:val="32"/>
        </w:rPr>
        <w:t>其中:税务部门完成30505万元，占年初预算32856万元的92.8%，短收2351万元，比上年29869万元增长2.1%，增收636万元,</w:t>
      </w:r>
      <w:r>
        <w:rPr>
          <w:rFonts w:hint="eastAsia" w:ascii="宋体" w:hAnsi="宋体" w:cs="宋体"/>
          <w:kern w:val="0"/>
          <w:sz w:val="32"/>
          <w:szCs w:val="32"/>
        </w:rPr>
        <w:t xml:space="preserve"> 占一般公共预算收入比重60.8%</w:t>
      </w:r>
      <w:r>
        <w:rPr>
          <w:rFonts w:hint="eastAsia" w:ascii="宋体" w:hAnsi="宋体" w:cs="宋体"/>
          <w:sz w:val="32"/>
        </w:rPr>
        <w:t>。财政部门完成19647万元，占年初预算17107万元的114.8%，超收2540万元，比上年18638万元增长5.4%，增收1009万元,</w:t>
      </w:r>
      <w:r>
        <w:rPr>
          <w:rFonts w:hint="eastAsia" w:ascii="宋体" w:hAnsi="宋体" w:cs="宋体"/>
          <w:kern w:val="0"/>
          <w:sz w:val="32"/>
          <w:szCs w:val="32"/>
        </w:rPr>
        <w:t xml:space="preserve"> 占一般公共预算收入比重39.2%</w:t>
      </w:r>
      <w:r>
        <w:rPr>
          <w:rFonts w:hint="eastAsia" w:ascii="宋体" w:hAnsi="宋体" w:cs="宋体"/>
          <w:sz w:val="32"/>
        </w:rPr>
        <w:t>。</w:t>
      </w:r>
    </w:p>
    <w:p>
      <w:pPr>
        <w:spacing w:line="600" w:lineRule="exact"/>
        <w:ind w:firstLine="643" w:firstLineChars="200"/>
        <w:rPr>
          <w:rFonts w:ascii="宋体" w:hAnsi="宋体" w:cs="宋体"/>
          <w:b/>
          <w:bCs/>
          <w:sz w:val="32"/>
          <w:szCs w:val="32"/>
        </w:rPr>
      </w:pPr>
      <w:r>
        <w:rPr>
          <w:rFonts w:hint="eastAsia" w:ascii="宋体" w:hAnsi="宋体" w:cs="宋体"/>
          <w:b/>
          <w:bCs/>
          <w:sz w:val="32"/>
          <w:szCs w:val="32"/>
        </w:rPr>
        <w:t>（二）分税种收入分析</w:t>
      </w:r>
    </w:p>
    <w:p>
      <w:pPr>
        <w:spacing w:line="600" w:lineRule="exact"/>
        <w:ind w:firstLine="640" w:firstLineChars="200"/>
        <w:rPr>
          <w:rFonts w:ascii="宋体" w:hAnsi="宋体" w:cs="宋体"/>
          <w:sz w:val="32"/>
        </w:rPr>
      </w:pPr>
      <w:r>
        <w:rPr>
          <w:rFonts w:hint="eastAsia" w:ascii="宋体" w:hAnsi="宋体" w:cs="宋体"/>
          <w:sz w:val="32"/>
        </w:rPr>
        <w:t>十五项税收中，增值税完成14099万元，比上年同期11817万元增收2282万元，增长19.3%，占一般公共预算收入的比重为28.1%，较上年同期增长3.7个百分点；企业所得税完成1667万元，比上年同期2785万元减收1118万元，下降40.1%，占一般公共预算收入的比重为3.3%，较上年同期下降2.4个百分点；个人所得税完成508万元，比上年同期474万元增收34万元，增长7.2%，占一般公共预算收入的比重为1%，与上年持平；其他税收中契税完成2304万元，比上年同期3465万元减收1161万元，下降33.5%；非税收入完成19647万元，比上年同期18638万元增收1009万元，增长5.4%，占一般公共预算收入的比重为39.2%，比上年同期增长0.8个百分点。</w:t>
      </w:r>
    </w:p>
    <w:tbl>
      <w:tblPr>
        <w:tblStyle w:val="5"/>
        <w:tblW w:w="7381" w:type="dxa"/>
        <w:tblInd w:w="98" w:type="dxa"/>
        <w:tblLayout w:type="fixed"/>
        <w:tblCellMar>
          <w:top w:w="0" w:type="dxa"/>
          <w:left w:w="108" w:type="dxa"/>
          <w:bottom w:w="0" w:type="dxa"/>
          <w:right w:w="108" w:type="dxa"/>
        </w:tblCellMar>
      </w:tblPr>
      <w:tblGrid>
        <w:gridCol w:w="1711"/>
        <w:gridCol w:w="993"/>
        <w:gridCol w:w="850"/>
        <w:gridCol w:w="851"/>
        <w:gridCol w:w="850"/>
        <w:gridCol w:w="992"/>
        <w:gridCol w:w="1134"/>
      </w:tblGrid>
      <w:tr>
        <w:tblPrEx>
          <w:tblCellMar>
            <w:top w:w="0" w:type="dxa"/>
            <w:left w:w="108" w:type="dxa"/>
            <w:bottom w:w="0" w:type="dxa"/>
            <w:right w:w="108" w:type="dxa"/>
          </w:tblCellMar>
        </w:tblPrEx>
        <w:trPr>
          <w:trHeight w:val="585" w:hRule="atLeast"/>
        </w:trPr>
        <w:tc>
          <w:tcPr>
            <w:tcW w:w="1711" w:type="dxa"/>
            <w:vMerge w:val="restart"/>
            <w:tcBorders>
              <w:top w:val="single" w:color="auto" w:sz="8" w:space="0"/>
              <w:left w:val="single" w:color="auto" w:sz="8" w:space="0"/>
              <w:bottom w:val="single" w:color="000000" w:sz="8" w:space="0"/>
              <w:right w:val="single" w:color="auto" w:sz="8" w:space="0"/>
            </w:tcBorders>
            <w:shd w:val="clear" w:color="auto" w:fill="auto"/>
            <w:vAlign w:val="center"/>
          </w:tcPr>
          <w:p>
            <w:pPr>
              <w:jc w:val="center"/>
              <w:rPr>
                <w:rFonts w:ascii="楷体_GB2312" w:hAnsi="宋体" w:eastAsia="楷体_GB2312" w:cs="宋体"/>
                <w:b/>
                <w:bCs/>
                <w:color w:val="000000"/>
                <w:sz w:val="24"/>
                <w:szCs w:val="24"/>
              </w:rPr>
            </w:pPr>
            <w:r>
              <w:rPr>
                <w:rFonts w:hint="eastAsia" w:ascii="楷体_GB2312" w:eastAsia="楷体_GB2312"/>
                <w:b/>
                <w:bCs/>
                <w:color w:val="000000"/>
              </w:rPr>
              <w:t>收入项目</w:t>
            </w:r>
          </w:p>
        </w:tc>
        <w:tc>
          <w:tcPr>
            <w:tcW w:w="1843" w:type="dxa"/>
            <w:gridSpan w:val="2"/>
            <w:tcBorders>
              <w:top w:val="single" w:color="auto" w:sz="8" w:space="0"/>
              <w:left w:val="nil"/>
              <w:bottom w:val="single" w:color="auto" w:sz="8" w:space="0"/>
              <w:right w:val="single" w:color="000000" w:sz="8" w:space="0"/>
            </w:tcBorders>
            <w:shd w:val="clear" w:color="auto" w:fill="auto"/>
            <w:vAlign w:val="center"/>
          </w:tcPr>
          <w:p>
            <w:pPr>
              <w:jc w:val="center"/>
              <w:rPr>
                <w:rFonts w:ascii="楷体_GB2312" w:hAnsi="宋体" w:eastAsia="楷体_GB2312" w:cs="宋体"/>
                <w:b/>
                <w:bCs/>
                <w:color w:val="000000"/>
                <w:sz w:val="24"/>
                <w:szCs w:val="24"/>
              </w:rPr>
            </w:pPr>
            <w:r>
              <w:rPr>
                <w:rFonts w:hint="eastAsia" w:ascii="楷体_GB2312" w:eastAsia="楷体_GB2312"/>
                <w:b/>
                <w:bCs/>
                <w:color w:val="000000"/>
              </w:rPr>
              <w:t>2020年</w:t>
            </w:r>
          </w:p>
        </w:tc>
        <w:tc>
          <w:tcPr>
            <w:tcW w:w="1701" w:type="dxa"/>
            <w:gridSpan w:val="2"/>
            <w:tcBorders>
              <w:top w:val="single" w:color="auto" w:sz="8" w:space="0"/>
              <w:left w:val="nil"/>
              <w:bottom w:val="single" w:color="auto" w:sz="8" w:space="0"/>
              <w:right w:val="single" w:color="000000" w:sz="8" w:space="0"/>
            </w:tcBorders>
            <w:shd w:val="clear" w:color="auto" w:fill="auto"/>
            <w:vAlign w:val="center"/>
          </w:tcPr>
          <w:p>
            <w:pPr>
              <w:jc w:val="center"/>
              <w:rPr>
                <w:rFonts w:ascii="楷体_GB2312" w:hAnsi="宋体" w:eastAsia="楷体_GB2312" w:cs="宋体"/>
                <w:b/>
                <w:bCs/>
                <w:color w:val="000000"/>
                <w:sz w:val="24"/>
                <w:szCs w:val="24"/>
              </w:rPr>
            </w:pPr>
            <w:r>
              <w:rPr>
                <w:rFonts w:hint="eastAsia" w:ascii="楷体_GB2312" w:eastAsia="楷体_GB2312"/>
                <w:b/>
                <w:bCs/>
                <w:color w:val="000000"/>
              </w:rPr>
              <w:t>2019年</w:t>
            </w:r>
          </w:p>
        </w:tc>
        <w:tc>
          <w:tcPr>
            <w:tcW w:w="2126" w:type="dxa"/>
            <w:gridSpan w:val="2"/>
            <w:tcBorders>
              <w:top w:val="single" w:color="auto" w:sz="8" w:space="0"/>
              <w:left w:val="nil"/>
              <w:bottom w:val="single" w:color="auto" w:sz="8" w:space="0"/>
              <w:right w:val="single" w:color="000000" w:sz="8" w:space="0"/>
            </w:tcBorders>
            <w:shd w:val="clear" w:color="auto" w:fill="auto"/>
            <w:vAlign w:val="center"/>
          </w:tcPr>
          <w:p>
            <w:pPr>
              <w:jc w:val="center"/>
              <w:rPr>
                <w:rFonts w:ascii="楷体_GB2312" w:hAnsi="宋体" w:eastAsia="楷体_GB2312" w:cs="宋体"/>
                <w:b/>
                <w:bCs/>
                <w:color w:val="000000"/>
                <w:sz w:val="24"/>
                <w:szCs w:val="24"/>
              </w:rPr>
            </w:pPr>
            <w:r>
              <w:rPr>
                <w:rFonts w:hint="eastAsia" w:ascii="楷体_GB2312" w:eastAsia="楷体_GB2312"/>
                <w:b/>
                <w:bCs/>
                <w:color w:val="000000"/>
              </w:rPr>
              <w:t>比较</w:t>
            </w:r>
          </w:p>
        </w:tc>
      </w:tr>
      <w:tr>
        <w:tblPrEx>
          <w:tblCellMar>
            <w:top w:w="0" w:type="dxa"/>
            <w:left w:w="108" w:type="dxa"/>
            <w:bottom w:w="0" w:type="dxa"/>
            <w:right w:w="108" w:type="dxa"/>
          </w:tblCellMar>
        </w:tblPrEx>
        <w:trPr>
          <w:trHeight w:val="300" w:hRule="atLeast"/>
        </w:trPr>
        <w:tc>
          <w:tcPr>
            <w:tcW w:w="1711" w:type="dxa"/>
            <w:vMerge w:val="continue"/>
            <w:tcBorders>
              <w:top w:val="single" w:color="auto" w:sz="8" w:space="0"/>
              <w:left w:val="single" w:color="auto" w:sz="8" w:space="0"/>
              <w:bottom w:val="single" w:color="000000" w:sz="8" w:space="0"/>
              <w:right w:val="single" w:color="auto" w:sz="8" w:space="0"/>
            </w:tcBorders>
            <w:vAlign w:val="center"/>
          </w:tcPr>
          <w:p>
            <w:pPr>
              <w:rPr>
                <w:rFonts w:ascii="楷体_GB2312" w:hAnsi="宋体" w:eastAsia="楷体_GB2312" w:cs="宋体"/>
                <w:b/>
                <w:bCs/>
                <w:color w:val="000000"/>
                <w:sz w:val="24"/>
                <w:szCs w:val="24"/>
              </w:rPr>
            </w:pPr>
          </w:p>
        </w:tc>
        <w:tc>
          <w:tcPr>
            <w:tcW w:w="993" w:type="dxa"/>
            <w:tcBorders>
              <w:top w:val="nil"/>
              <w:left w:val="nil"/>
              <w:bottom w:val="single" w:color="auto" w:sz="8" w:space="0"/>
              <w:right w:val="single" w:color="auto" w:sz="8" w:space="0"/>
            </w:tcBorders>
            <w:shd w:val="clear" w:color="auto" w:fill="auto"/>
            <w:vAlign w:val="center"/>
          </w:tcPr>
          <w:p>
            <w:pPr>
              <w:jc w:val="center"/>
              <w:rPr>
                <w:rFonts w:ascii="楷体_GB2312" w:hAnsi="宋体" w:eastAsia="楷体_GB2312" w:cs="宋体"/>
                <w:b/>
                <w:bCs/>
                <w:color w:val="000000"/>
                <w:sz w:val="24"/>
                <w:szCs w:val="24"/>
              </w:rPr>
            </w:pPr>
            <w:r>
              <w:rPr>
                <w:rFonts w:hint="eastAsia" w:ascii="楷体_GB2312" w:eastAsia="楷体_GB2312"/>
                <w:b/>
                <w:bCs/>
                <w:color w:val="000000"/>
              </w:rPr>
              <w:t>收入数</w:t>
            </w:r>
          </w:p>
        </w:tc>
        <w:tc>
          <w:tcPr>
            <w:tcW w:w="850" w:type="dxa"/>
            <w:tcBorders>
              <w:top w:val="nil"/>
              <w:left w:val="nil"/>
              <w:bottom w:val="single" w:color="auto" w:sz="8" w:space="0"/>
              <w:right w:val="single" w:color="auto" w:sz="8" w:space="0"/>
            </w:tcBorders>
            <w:shd w:val="clear" w:color="auto" w:fill="auto"/>
            <w:vAlign w:val="center"/>
          </w:tcPr>
          <w:p>
            <w:pPr>
              <w:jc w:val="center"/>
              <w:rPr>
                <w:rFonts w:ascii="楷体_GB2312" w:hAnsi="宋体" w:eastAsia="楷体_GB2312" w:cs="宋体"/>
                <w:b/>
                <w:bCs/>
                <w:color w:val="000000"/>
                <w:sz w:val="24"/>
                <w:szCs w:val="24"/>
              </w:rPr>
            </w:pPr>
            <w:r>
              <w:rPr>
                <w:rFonts w:hint="eastAsia" w:ascii="楷体_GB2312" w:eastAsia="楷体_GB2312"/>
                <w:b/>
                <w:bCs/>
                <w:color w:val="000000"/>
              </w:rPr>
              <w:t>比重</w:t>
            </w:r>
          </w:p>
        </w:tc>
        <w:tc>
          <w:tcPr>
            <w:tcW w:w="851" w:type="dxa"/>
            <w:tcBorders>
              <w:top w:val="nil"/>
              <w:left w:val="nil"/>
              <w:bottom w:val="single" w:color="auto" w:sz="8" w:space="0"/>
              <w:right w:val="single" w:color="auto" w:sz="8" w:space="0"/>
            </w:tcBorders>
            <w:shd w:val="clear" w:color="auto" w:fill="auto"/>
            <w:vAlign w:val="center"/>
          </w:tcPr>
          <w:p>
            <w:pPr>
              <w:jc w:val="center"/>
              <w:rPr>
                <w:rFonts w:ascii="楷体_GB2312" w:hAnsi="宋体" w:eastAsia="楷体_GB2312" w:cs="宋体"/>
                <w:b/>
                <w:bCs/>
                <w:color w:val="000000"/>
                <w:sz w:val="24"/>
                <w:szCs w:val="24"/>
              </w:rPr>
            </w:pPr>
            <w:r>
              <w:rPr>
                <w:rFonts w:hint="eastAsia" w:ascii="楷体_GB2312" w:eastAsia="楷体_GB2312"/>
                <w:b/>
                <w:bCs/>
                <w:color w:val="000000"/>
              </w:rPr>
              <w:t>收入数</w:t>
            </w:r>
          </w:p>
        </w:tc>
        <w:tc>
          <w:tcPr>
            <w:tcW w:w="850" w:type="dxa"/>
            <w:tcBorders>
              <w:top w:val="nil"/>
              <w:left w:val="nil"/>
              <w:bottom w:val="single" w:color="auto" w:sz="8" w:space="0"/>
              <w:right w:val="single" w:color="auto" w:sz="8" w:space="0"/>
            </w:tcBorders>
            <w:shd w:val="clear" w:color="auto" w:fill="auto"/>
            <w:vAlign w:val="center"/>
          </w:tcPr>
          <w:p>
            <w:pPr>
              <w:jc w:val="center"/>
              <w:rPr>
                <w:rFonts w:ascii="楷体_GB2312" w:hAnsi="宋体" w:eastAsia="楷体_GB2312" w:cs="宋体"/>
                <w:b/>
                <w:bCs/>
                <w:color w:val="000000"/>
                <w:sz w:val="24"/>
                <w:szCs w:val="24"/>
              </w:rPr>
            </w:pPr>
            <w:r>
              <w:rPr>
                <w:rFonts w:hint="eastAsia" w:ascii="楷体_GB2312" w:eastAsia="楷体_GB2312"/>
                <w:b/>
                <w:bCs/>
                <w:color w:val="000000"/>
              </w:rPr>
              <w:t>比重</w:t>
            </w:r>
          </w:p>
        </w:tc>
        <w:tc>
          <w:tcPr>
            <w:tcW w:w="992" w:type="dxa"/>
            <w:tcBorders>
              <w:top w:val="nil"/>
              <w:left w:val="nil"/>
              <w:bottom w:val="single" w:color="auto" w:sz="8" w:space="0"/>
              <w:right w:val="single" w:color="auto" w:sz="8" w:space="0"/>
            </w:tcBorders>
            <w:shd w:val="clear" w:color="auto" w:fill="auto"/>
            <w:vAlign w:val="center"/>
          </w:tcPr>
          <w:p>
            <w:pPr>
              <w:jc w:val="center"/>
              <w:rPr>
                <w:rFonts w:ascii="楷体_GB2312" w:hAnsi="宋体" w:eastAsia="楷体_GB2312" w:cs="宋体"/>
                <w:b/>
                <w:bCs/>
                <w:color w:val="000000"/>
                <w:sz w:val="24"/>
                <w:szCs w:val="24"/>
              </w:rPr>
            </w:pPr>
            <w:r>
              <w:rPr>
                <w:rFonts w:hint="eastAsia" w:ascii="楷体_GB2312" w:eastAsia="楷体_GB2312"/>
                <w:b/>
                <w:bCs/>
                <w:color w:val="000000"/>
              </w:rPr>
              <w:t>增收</w:t>
            </w:r>
          </w:p>
        </w:tc>
        <w:tc>
          <w:tcPr>
            <w:tcW w:w="1134" w:type="dxa"/>
            <w:tcBorders>
              <w:top w:val="nil"/>
              <w:left w:val="nil"/>
              <w:bottom w:val="single" w:color="auto" w:sz="8" w:space="0"/>
              <w:right w:val="single" w:color="auto" w:sz="8" w:space="0"/>
            </w:tcBorders>
            <w:shd w:val="clear" w:color="auto" w:fill="auto"/>
            <w:vAlign w:val="center"/>
          </w:tcPr>
          <w:p>
            <w:pPr>
              <w:jc w:val="center"/>
              <w:rPr>
                <w:rFonts w:ascii="楷体_GB2312" w:hAnsi="宋体" w:eastAsia="楷体_GB2312" w:cs="宋体"/>
                <w:b/>
                <w:bCs/>
                <w:color w:val="000000"/>
                <w:sz w:val="24"/>
                <w:szCs w:val="24"/>
              </w:rPr>
            </w:pPr>
            <w:r>
              <w:rPr>
                <w:rFonts w:hint="eastAsia" w:ascii="楷体_GB2312" w:eastAsia="楷体_GB2312"/>
                <w:b/>
                <w:bCs/>
                <w:color w:val="000000"/>
              </w:rPr>
              <w:t>增幅</w:t>
            </w:r>
          </w:p>
        </w:tc>
      </w:tr>
      <w:tr>
        <w:tblPrEx>
          <w:tblCellMar>
            <w:top w:w="0" w:type="dxa"/>
            <w:left w:w="108" w:type="dxa"/>
            <w:bottom w:w="0" w:type="dxa"/>
            <w:right w:w="108" w:type="dxa"/>
          </w:tblCellMar>
        </w:tblPrEx>
        <w:trPr>
          <w:trHeight w:val="380" w:hRule="atLeast"/>
        </w:trPr>
        <w:tc>
          <w:tcPr>
            <w:tcW w:w="1711" w:type="dxa"/>
            <w:tcBorders>
              <w:top w:val="nil"/>
              <w:left w:val="single" w:color="auto" w:sz="8" w:space="0"/>
              <w:bottom w:val="single" w:color="auto" w:sz="8" w:space="0"/>
              <w:right w:val="single" w:color="auto" w:sz="8" w:space="0"/>
            </w:tcBorders>
            <w:shd w:val="clear" w:color="000000" w:fill="FFFFFF"/>
            <w:vAlign w:val="center"/>
          </w:tcPr>
          <w:p>
            <w:pPr>
              <w:rPr>
                <w:rFonts w:ascii="楷体_GB2312" w:hAnsi="宋体" w:eastAsia="楷体_GB2312" w:cs="宋体"/>
                <w:b/>
                <w:bCs/>
                <w:color w:val="000000"/>
                <w:sz w:val="20"/>
                <w:szCs w:val="20"/>
              </w:rPr>
            </w:pPr>
            <w:r>
              <w:rPr>
                <w:rFonts w:hint="eastAsia" w:ascii="楷体_GB2312" w:eastAsia="楷体_GB2312"/>
                <w:b/>
                <w:bCs/>
                <w:color w:val="000000"/>
                <w:sz w:val="20"/>
                <w:szCs w:val="20"/>
              </w:rPr>
              <w:t>增值税</w:t>
            </w:r>
          </w:p>
        </w:tc>
        <w:tc>
          <w:tcPr>
            <w:tcW w:w="993" w:type="dxa"/>
            <w:tcBorders>
              <w:top w:val="nil"/>
              <w:left w:val="nil"/>
              <w:bottom w:val="single" w:color="auto" w:sz="8" w:space="0"/>
              <w:right w:val="single" w:color="auto" w:sz="8" w:space="0"/>
            </w:tcBorders>
            <w:shd w:val="clear" w:color="auto" w:fill="auto"/>
            <w:vAlign w:val="center"/>
          </w:tcPr>
          <w:p>
            <w:pPr>
              <w:jc w:val="center"/>
              <w:rPr>
                <w:rFonts w:ascii="楷体_GB2312" w:hAnsi="宋体" w:eastAsia="楷体_GB2312" w:cs="宋体"/>
                <w:color w:val="000000"/>
                <w:sz w:val="20"/>
                <w:szCs w:val="20"/>
              </w:rPr>
            </w:pPr>
            <w:r>
              <w:rPr>
                <w:rFonts w:hint="eastAsia" w:ascii="楷体_GB2312" w:eastAsia="楷体_GB2312"/>
                <w:color w:val="000000"/>
                <w:sz w:val="20"/>
                <w:szCs w:val="20"/>
              </w:rPr>
              <w:t>14099</w:t>
            </w:r>
          </w:p>
        </w:tc>
        <w:tc>
          <w:tcPr>
            <w:tcW w:w="850" w:type="dxa"/>
            <w:tcBorders>
              <w:top w:val="nil"/>
              <w:left w:val="nil"/>
              <w:bottom w:val="single" w:color="auto" w:sz="8" w:space="0"/>
              <w:right w:val="single" w:color="auto" w:sz="8" w:space="0"/>
            </w:tcBorders>
            <w:shd w:val="clear" w:color="auto" w:fill="auto"/>
            <w:vAlign w:val="center"/>
          </w:tcPr>
          <w:p>
            <w:pPr>
              <w:jc w:val="center"/>
              <w:rPr>
                <w:rFonts w:ascii="楷体_GB2312" w:hAnsi="宋体" w:eastAsia="楷体_GB2312" w:cs="宋体"/>
                <w:color w:val="000000"/>
                <w:sz w:val="20"/>
                <w:szCs w:val="20"/>
              </w:rPr>
            </w:pPr>
            <w:r>
              <w:rPr>
                <w:rFonts w:hint="eastAsia" w:ascii="楷体_GB2312" w:eastAsia="楷体_GB2312"/>
                <w:color w:val="000000"/>
                <w:sz w:val="20"/>
                <w:szCs w:val="20"/>
              </w:rPr>
              <w:t>28.1%</w:t>
            </w:r>
          </w:p>
        </w:tc>
        <w:tc>
          <w:tcPr>
            <w:tcW w:w="851" w:type="dxa"/>
            <w:tcBorders>
              <w:top w:val="nil"/>
              <w:left w:val="nil"/>
              <w:bottom w:val="single" w:color="auto" w:sz="8" w:space="0"/>
              <w:right w:val="single" w:color="auto" w:sz="8" w:space="0"/>
            </w:tcBorders>
            <w:shd w:val="clear" w:color="auto" w:fill="auto"/>
            <w:vAlign w:val="center"/>
          </w:tcPr>
          <w:p>
            <w:pPr>
              <w:jc w:val="center"/>
              <w:rPr>
                <w:rFonts w:ascii="楷体_GB2312" w:hAnsi="宋体" w:eastAsia="楷体_GB2312" w:cs="宋体"/>
                <w:color w:val="000000"/>
                <w:sz w:val="20"/>
                <w:szCs w:val="20"/>
              </w:rPr>
            </w:pPr>
            <w:r>
              <w:rPr>
                <w:rFonts w:hint="eastAsia" w:ascii="楷体_GB2312" w:eastAsia="楷体_GB2312"/>
                <w:color w:val="000000"/>
                <w:sz w:val="20"/>
                <w:szCs w:val="20"/>
              </w:rPr>
              <w:t>11817</w:t>
            </w:r>
          </w:p>
        </w:tc>
        <w:tc>
          <w:tcPr>
            <w:tcW w:w="850" w:type="dxa"/>
            <w:tcBorders>
              <w:top w:val="nil"/>
              <w:left w:val="nil"/>
              <w:bottom w:val="single" w:color="auto" w:sz="8" w:space="0"/>
              <w:right w:val="single" w:color="auto" w:sz="8" w:space="0"/>
            </w:tcBorders>
            <w:shd w:val="clear" w:color="auto" w:fill="auto"/>
            <w:vAlign w:val="center"/>
          </w:tcPr>
          <w:p>
            <w:pPr>
              <w:jc w:val="center"/>
              <w:rPr>
                <w:rFonts w:ascii="楷体_GB2312" w:hAnsi="宋体" w:eastAsia="楷体_GB2312" w:cs="宋体"/>
                <w:color w:val="000000"/>
                <w:sz w:val="20"/>
                <w:szCs w:val="20"/>
              </w:rPr>
            </w:pPr>
            <w:r>
              <w:rPr>
                <w:rFonts w:hint="eastAsia" w:ascii="楷体_GB2312" w:eastAsia="楷体_GB2312"/>
                <w:color w:val="000000"/>
                <w:sz w:val="20"/>
                <w:szCs w:val="20"/>
              </w:rPr>
              <w:t>24.4%</w:t>
            </w:r>
          </w:p>
        </w:tc>
        <w:tc>
          <w:tcPr>
            <w:tcW w:w="992" w:type="dxa"/>
            <w:tcBorders>
              <w:top w:val="nil"/>
              <w:left w:val="nil"/>
              <w:bottom w:val="single" w:color="auto" w:sz="8" w:space="0"/>
              <w:right w:val="single" w:color="auto" w:sz="8" w:space="0"/>
            </w:tcBorders>
            <w:shd w:val="clear" w:color="auto" w:fill="auto"/>
            <w:vAlign w:val="center"/>
          </w:tcPr>
          <w:p>
            <w:pPr>
              <w:jc w:val="center"/>
              <w:rPr>
                <w:rFonts w:ascii="楷体_GB2312" w:hAnsi="宋体" w:eastAsia="楷体_GB2312" w:cs="宋体"/>
                <w:sz w:val="20"/>
                <w:szCs w:val="20"/>
              </w:rPr>
            </w:pPr>
            <w:r>
              <w:rPr>
                <w:rFonts w:hint="eastAsia" w:ascii="楷体_GB2312" w:eastAsia="楷体_GB2312"/>
                <w:sz w:val="20"/>
                <w:szCs w:val="20"/>
              </w:rPr>
              <w:t>2282</w:t>
            </w:r>
          </w:p>
        </w:tc>
        <w:tc>
          <w:tcPr>
            <w:tcW w:w="1134" w:type="dxa"/>
            <w:tcBorders>
              <w:top w:val="nil"/>
              <w:left w:val="nil"/>
              <w:bottom w:val="single" w:color="auto" w:sz="8" w:space="0"/>
              <w:right w:val="single" w:color="auto" w:sz="8" w:space="0"/>
            </w:tcBorders>
            <w:shd w:val="clear" w:color="auto" w:fill="auto"/>
            <w:vAlign w:val="center"/>
          </w:tcPr>
          <w:p>
            <w:pPr>
              <w:jc w:val="center"/>
              <w:rPr>
                <w:rFonts w:ascii="楷体_GB2312" w:hAnsi="宋体" w:eastAsia="楷体_GB2312" w:cs="宋体"/>
                <w:sz w:val="20"/>
                <w:szCs w:val="20"/>
              </w:rPr>
            </w:pPr>
            <w:r>
              <w:rPr>
                <w:rFonts w:hint="eastAsia" w:ascii="楷体_GB2312" w:eastAsia="楷体_GB2312"/>
                <w:sz w:val="20"/>
                <w:szCs w:val="20"/>
              </w:rPr>
              <w:t>19.3%</w:t>
            </w:r>
          </w:p>
        </w:tc>
      </w:tr>
      <w:tr>
        <w:tblPrEx>
          <w:tblCellMar>
            <w:top w:w="0" w:type="dxa"/>
            <w:left w:w="108" w:type="dxa"/>
            <w:bottom w:w="0" w:type="dxa"/>
            <w:right w:w="108" w:type="dxa"/>
          </w:tblCellMar>
        </w:tblPrEx>
        <w:trPr>
          <w:trHeight w:val="300" w:hRule="atLeast"/>
        </w:trPr>
        <w:tc>
          <w:tcPr>
            <w:tcW w:w="1711" w:type="dxa"/>
            <w:tcBorders>
              <w:top w:val="nil"/>
              <w:left w:val="single" w:color="auto" w:sz="8" w:space="0"/>
              <w:bottom w:val="single" w:color="auto" w:sz="8" w:space="0"/>
              <w:right w:val="single" w:color="auto" w:sz="8" w:space="0"/>
            </w:tcBorders>
            <w:shd w:val="clear" w:color="000000" w:fill="FFFFFF"/>
            <w:vAlign w:val="center"/>
          </w:tcPr>
          <w:p>
            <w:pPr>
              <w:rPr>
                <w:rFonts w:ascii="楷体_GB2312" w:hAnsi="宋体" w:eastAsia="楷体_GB2312" w:cs="宋体"/>
                <w:b/>
                <w:bCs/>
                <w:color w:val="000000"/>
                <w:sz w:val="20"/>
                <w:szCs w:val="20"/>
              </w:rPr>
            </w:pPr>
            <w:r>
              <w:rPr>
                <w:rFonts w:hint="eastAsia" w:ascii="楷体_GB2312" w:eastAsia="楷体_GB2312"/>
                <w:b/>
                <w:bCs/>
                <w:color w:val="000000"/>
                <w:sz w:val="20"/>
                <w:szCs w:val="20"/>
              </w:rPr>
              <w:t>企业所得税</w:t>
            </w:r>
          </w:p>
        </w:tc>
        <w:tc>
          <w:tcPr>
            <w:tcW w:w="993" w:type="dxa"/>
            <w:tcBorders>
              <w:top w:val="nil"/>
              <w:left w:val="nil"/>
              <w:bottom w:val="single" w:color="auto" w:sz="8" w:space="0"/>
              <w:right w:val="single" w:color="auto" w:sz="8" w:space="0"/>
            </w:tcBorders>
            <w:shd w:val="clear" w:color="auto" w:fill="auto"/>
            <w:vAlign w:val="center"/>
          </w:tcPr>
          <w:p>
            <w:pPr>
              <w:jc w:val="center"/>
              <w:rPr>
                <w:rFonts w:ascii="楷体_GB2312" w:hAnsi="宋体" w:eastAsia="楷体_GB2312" w:cs="宋体"/>
                <w:color w:val="000000"/>
                <w:sz w:val="20"/>
                <w:szCs w:val="20"/>
              </w:rPr>
            </w:pPr>
            <w:r>
              <w:rPr>
                <w:rFonts w:hint="eastAsia" w:ascii="楷体_GB2312" w:eastAsia="楷体_GB2312"/>
                <w:color w:val="000000"/>
                <w:sz w:val="20"/>
                <w:szCs w:val="20"/>
              </w:rPr>
              <w:t>1667</w:t>
            </w:r>
          </w:p>
        </w:tc>
        <w:tc>
          <w:tcPr>
            <w:tcW w:w="850" w:type="dxa"/>
            <w:tcBorders>
              <w:top w:val="nil"/>
              <w:left w:val="nil"/>
              <w:bottom w:val="single" w:color="auto" w:sz="8" w:space="0"/>
              <w:right w:val="single" w:color="auto" w:sz="8" w:space="0"/>
            </w:tcBorders>
            <w:shd w:val="clear" w:color="auto" w:fill="auto"/>
            <w:vAlign w:val="center"/>
          </w:tcPr>
          <w:p>
            <w:pPr>
              <w:jc w:val="center"/>
              <w:rPr>
                <w:rFonts w:ascii="楷体_GB2312" w:hAnsi="宋体" w:eastAsia="楷体_GB2312" w:cs="宋体"/>
                <w:color w:val="000000"/>
                <w:sz w:val="20"/>
                <w:szCs w:val="20"/>
              </w:rPr>
            </w:pPr>
            <w:r>
              <w:rPr>
                <w:rFonts w:hint="eastAsia" w:ascii="楷体_GB2312" w:eastAsia="楷体_GB2312"/>
                <w:color w:val="000000"/>
                <w:sz w:val="20"/>
                <w:szCs w:val="20"/>
              </w:rPr>
              <w:t>3.3%</w:t>
            </w:r>
          </w:p>
        </w:tc>
        <w:tc>
          <w:tcPr>
            <w:tcW w:w="851" w:type="dxa"/>
            <w:tcBorders>
              <w:top w:val="nil"/>
              <w:left w:val="nil"/>
              <w:bottom w:val="single" w:color="auto" w:sz="8" w:space="0"/>
              <w:right w:val="single" w:color="auto" w:sz="8" w:space="0"/>
            </w:tcBorders>
            <w:shd w:val="clear" w:color="auto" w:fill="auto"/>
            <w:vAlign w:val="center"/>
          </w:tcPr>
          <w:p>
            <w:pPr>
              <w:jc w:val="center"/>
              <w:rPr>
                <w:rFonts w:ascii="楷体_GB2312" w:hAnsi="宋体" w:eastAsia="楷体_GB2312" w:cs="宋体"/>
                <w:color w:val="000000"/>
                <w:sz w:val="20"/>
                <w:szCs w:val="20"/>
              </w:rPr>
            </w:pPr>
            <w:r>
              <w:rPr>
                <w:rFonts w:hint="eastAsia" w:ascii="楷体_GB2312" w:eastAsia="楷体_GB2312"/>
                <w:color w:val="000000"/>
                <w:sz w:val="20"/>
                <w:szCs w:val="20"/>
              </w:rPr>
              <w:t>2785</w:t>
            </w:r>
          </w:p>
        </w:tc>
        <w:tc>
          <w:tcPr>
            <w:tcW w:w="850" w:type="dxa"/>
            <w:tcBorders>
              <w:top w:val="nil"/>
              <w:left w:val="nil"/>
              <w:bottom w:val="single" w:color="auto" w:sz="8" w:space="0"/>
              <w:right w:val="single" w:color="auto" w:sz="8" w:space="0"/>
            </w:tcBorders>
            <w:shd w:val="clear" w:color="auto" w:fill="auto"/>
            <w:vAlign w:val="center"/>
          </w:tcPr>
          <w:p>
            <w:pPr>
              <w:jc w:val="center"/>
              <w:rPr>
                <w:rFonts w:ascii="楷体_GB2312" w:hAnsi="宋体" w:eastAsia="楷体_GB2312" w:cs="宋体"/>
                <w:color w:val="000000"/>
                <w:sz w:val="20"/>
                <w:szCs w:val="20"/>
              </w:rPr>
            </w:pPr>
            <w:r>
              <w:rPr>
                <w:rFonts w:hint="eastAsia" w:ascii="楷体_GB2312" w:eastAsia="楷体_GB2312"/>
                <w:color w:val="000000"/>
                <w:sz w:val="20"/>
                <w:szCs w:val="20"/>
              </w:rPr>
              <w:t>5.7%</w:t>
            </w:r>
          </w:p>
        </w:tc>
        <w:tc>
          <w:tcPr>
            <w:tcW w:w="992" w:type="dxa"/>
            <w:tcBorders>
              <w:top w:val="nil"/>
              <w:left w:val="nil"/>
              <w:bottom w:val="single" w:color="auto" w:sz="8" w:space="0"/>
              <w:right w:val="single" w:color="auto" w:sz="8" w:space="0"/>
            </w:tcBorders>
            <w:shd w:val="clear" w:color="auto" w:fill="auto"/>
            <w:vAlign w:val="center"/>
          </w:tcPr>
          <w:p>
            <w:pPr>
              <w:jc w:val="center"/>
              <w:rPr>
                <w:rFonts w:ascii="楷体_GB2312" w:hAnsi="宋体" w:eastAsia="楷体_GB2312" w:cs="宋体"/>
                <w:sz w:val="20"/>
                <w:szCs w:val="20"/>
              </w:rPr>
            </w:pPr>
            <w:r>
              <w:rPr>
                <w:rFonts w:hint="eastAsia" w:ascii="楷体_GB2312" w:eastAsia="楷体_GB2312"/>
                <w:sz w:val="20"/>
                <w:szCs w:val="20"/>
              </w:rPr>
              <w:t>-1118</w:t>
            </w:r>
          </w:p>
        </w:tc>
        <w:tc>
          <w:tcPr>
            <w:tcW w:w="1134" w:type="dxa"/>
            <w:tcBorders>
              <w:top w:val="nil"/>
              <w:left w:val="nil"/>
              <w:bottom w:val="single" w:color="auto" w:sz="8" w:space="0"/>
              <w:right w:val="single" w:color="auto" w:sz="8" w:space="0"/>
            </w:tcBorders>
            <w:shd w:val="clear" w:color="auto" w:fill="auto"/>
            <w:vAlign w:val="center"/>
          </w:tcPr>
          <w:p>
            <w:pPr>
              <w:jc w:val="center"/>
              <w:rPr>
                <w:rFonts w:ascii="楷体_GB2312" w:hAnsi="宋体" w:eastAsia="楷体_GB2312" w:cs="宋体"/>
                <w:sz w:val="20"/>
                <w:szCs w:val="20"/>
              </w:rPr>
            </w:pPr>
            <w:r>
              <w:rPr>
                <w:rFonts w:hint="eastAsia" w:ascii="楷体_GB2312" w:eastAsia="楷体_GB2312"/>
                <w:sz w:val="20"/>
                <w:szCs w:val="20"/>
              </w:rPr>
              <w:t>-40.1%</w:t>
            </w:r>
          </w:p>
        </w:tc>
      </w:tr>
      <w:tr>
        <w:tblPrEx>
          <w:tblCellMar>
            <w:top w:w="0" w:type="dxa"/>
            <w:left w:w="108" w:type="dxa"/>
            <w:bottom w:w="0" w:type="dxa"/>
            <w:right w:w="108" w:type="dxa"/>
          </w:tblCellMar>
        </w:tblPrEx>
        <w:trPr>
          <w:trHeight w:val="336" w:hRule="atLeast"/>
        </w:trPr>
        <w:tc>
          <w:tcPr>
            <w:tcW w:w="1711" w:type="dxa"/>
            <w:tcBorders>
              <w:top w:val="nil"/>
              <w:left w:val="single" w:color="auto" w:sz="8" w:space="0"/>
              <w:bottom w:val="single" w:color="auto" w:sz="8" w:space="0"/>
              <w:right w:val="single" w:color="auto" w:sz="8" w:space="0"/>
            </w:tcBorders>
            <w:shd w:val="clear" w:color="000000" w:fill="FFFFFF"/>
            <w:vAlign w:val="center"/>
          </w:tcPr>
          <w:p>
            <w:pPr>
              <w:rPr>
                <w:rFonts w:ascii="楷体_GB2312" w:hAnsi="宋体" w:eastAsia="楷体_GB2312" w:cs="宋体"/>
                <w:b/>
                <w:bCs/>
                <w:color w:val="000000"/>
                <w:sz w:val="20"/>
                <w:szCs w:val="20"/>
              </w:rPr>
            </w:pPr>
            <w:r>
              <w:rPr>
                <w:rFonts w:hint="eastAsia" w:ascii="楷体_GB2312" w:eastAsia="楷体_GB2312"/>
                <w:b/>
                <w:bCs/>
                <w:color w:val="000000"/>
                <w:sz w:val="20"/>
                <w:szCs w:val="20"/>
              </w:rPr>
              <w:t>个人所得税</w:t>
            </w:r>
          </w:p>
        </w:tc>
        <w:tc>
          <w:tcPr>
            <w:tcW w:w="993" w:type="dxa"/>
            <w:tcBorders>
              <w:top w:val="nil"/>
              <w:left w:val="nil"/>
              <w:bottom w:val="single" w:color="auto" w:sz="8" w:space="0"/>
              <w:right w:val="single" w:color="auto" w:sz="8" w:space="0"/>
            </w:tcBorders>
            <w:shd w:val="clear" w:color="auto" w:fill="auto"/>
            <w:vAlign w:val="center"/>
          </w:tcPr>
          <w:p>
            <w:pPr>
              <w:jc w:val="center"/>
              <w:rPr>
                <w:rFonts w:ascii="楷体_GB2312" w:hAnsi="宋体" w:eastAsia="楷体_GB2312" w:cs="宋体"/>
                <w:color w:val="000000"/>
                <w:sz w:val="20"/>
                <w:szCs w:val="20"/>
              </w:rPr>
            </w:pPr>
            <w:r>
              <w:rPr>
                <w:rFonts w:hint="eastAsia" w:ascii="楷体_GB2312" w:eastAsia="楷体_GB2312"/>
                <w:color w:val="000000"/>
                <w:sz w:val="20"/>
                <w:szCs w:val="20"/>
              </w:rPr>
              <w:t>508</w:t>
            </w:r>
          </w:p>
        </w:tc>
        <w:tc>
          <w:tcPr>
            <w:tcW w:w="850" w:type="dxa"/>
            <w:tcBorders>
              <w:top w:val="nil"/>
              <w:left w:val="nil"/>
              <w:bottom w:val="single" w:color="auto" w:sz="8" w:space="0"/>
              <w:right w:val="single" w:color="auto" w:sz="8" w:space="0"/>
            </w:tcBorders>
            <w:shd w:val="clear" w:color="auto" w:fill="auto"/>
            <w:vAlign w:val="center"/>
          </w:tcPr>
          <w:p>
            <w:pPr>
              <w:jc w:val="center"/>
              <w:rPr>
                <w:rFonts w:ascii="楷体_GB2312" w:hAnsi="宋体" w:eastAsia="楷体_GB2312" w:cs="宋体"/>
                <w:color w:val="000000"/>
                <w:sz w:val="20"/>
                <w:szCs w:val="20"/>
              </w:rPr>
            </w:pPr>
            <w:r>
              <w:rPr>
                <w:rFonts w:hint="eastAsia" w:ascii="楷体_GB2312" w:eastAsia="楷体_GB2312"/>
                <w:color w:val="000000"/>
                <w:sz w:val="20"/>
                <w:szCs w:val="20"/>
              </w:rPr>
              <w:t>1.0%</w:t>
            </w:r>
          </w:p>
        </w:tc>
        <w:tc>
          <w:tcPr>
            <w:tcW w:w="851" w:type="dxa"/>
            <w:tcBorders>
              <w:top w:val="nil"/>
              <w:left w:val="nil"/>
              <w:bottom w:val="single" w:color="auto" w:sz="8" w:space="0"/>
              <w:right w:val="single" w:color="auto" w:sz="8" w:space="0"/>
            </w:tcBorders>
            <w:shd w:val="clear" w:color="auto" w:fill="auto"/>
            <w:vAlign w:val="center"/>
          </w:tcPr>
          <w:p>
            <w:pPr>
              <w:jc w:val="center"/>
              <w:rPr>
                <w:rFonts w:ascii="楷体_GB2312" w:hAnsi="宋体" w:eastAsia="楷体_GB2312" w:cs="宋体"/>
                <w:color w:val="000000"/>
                <w:sz w:val="20"/>
                <w:szCs w:val="20"/>
              </w:rPr>
            </w:pPr>
            <w:r>
              <w:rPr>
                <w:rFonts w:hint="eastAsia" w:ascii="楷体_GB2312" w:eastAsia="楷体_GB2312"/>
                <w:color w:val="000000"/>
                <w:sz w:val="20"/>
                <w:szCs w:val="20"/>
              </w:rPr>
              <w:t>474</w:t>
            </w:r>
          </w:p>
        </w:tc>
        <w:tc>
          <w:tcPr>
            <w:tcW w:w="850" w:type="dxa"/>
            <w:tcBorders>
              <w:top w:val="nil"/>
              <w:left w:val="nil"/>
              <w:bottom w:val="single" w:color="auto" w:sz="8" w:space="0"/>
              <w:right w:val="single" w:color="auto" w:sz="8" w:space="0"/>
            </w:tcBorders>
            <w:shd w:val="clear" w:color="auto" w:fill="auto"/>
            <w:vAlign w:val="center"/>
          </w:tcPr>
          <w:p>
            <w:pPr>
              <w:jc w:val="center"/>
              <w:rPr>
                <w:rFonts w:ascii="楷体_GB2312" w:hAnsi="宋体" w:eastAsia="楷体_GB2312" w:cs="宋体"/>
                <w:color w:val="000000"/>
                <w:sz w:val="20"/>
                <w:szCs w:val="20"/>
              </w:rPr>
            </w:pPr>
            <w:r>
              <w:rPr>
                <w:rFonts w:hint="eastAsia" w:ascii="楷体_GB2312" w:eastAsia="楷体_GB2312"/>
                <w:color w:val="000000"/>
                <w:sz w:val="20"/>
                <w:szCs w:val="20"/>
              </w:rPr>
              <w:t>1.0%</w:t>
            </w:r>
          </w:p>
        </w:tc>
        <w:tc>
          <w:tcPr>
            <w:tcW w:w="992" w:type="dxa"/>
            <w:tcBorders>
              <w:top w:val="nil"/>
              <w:left w:val="nil"/>
              <w:bottom w:val="single" w:color="auto" w:sz="8" w:space="0"/>
              <w:right w:val="single" w:color="auto" w:sz="8" w:space="0"/>
            </w:tcBorders>
            <w:shd w:val="clear" w:color="auto" w:fill="auto"/>
            <w:vAlign w:val="center"/>
          </w:tcPr>
          <w:p>
            <w:pPr>
              <w:jc w:val="center"/>
              <w:rPr>
                <w:rFonts w:ascii="楷体_GB2312" w:hAnsi="宋体" w:eastAsia="楷体_GB2312" w:cs="宋体"/>
                <w:sz w:val="20"/>
                <w:szCs w:val="20"/>
              </w:rPr>
            </w:pPr>
            <w:r>
              <w:rPr>
                <w:rFonts w:hint="eastAsia" w:ascii="楷体_GB2312" w:eastAsia="楷体_GB2312"/>
                <w:sz w:val="20"/>
                <w:szCs w:val="20"/>
              </w:rPr>
              <w:t>34</w:t>
            </w:r>
          </w:p>
        </w:tc>
        <w:tc>
          <w:tcPr>
            <w:tcW w:w="1134" w:type="dxa"/>
            <w:tcBorders>
              <w:top w:val="nil"/>
              <w:left w:val="nil"/>
              <w:bottom w:val="single" w:color="auto" w:sz="8" w:space="0"/>
              <w:right w:val="single" w:color="auto" w:sz="8" w:space="0"/>
            </w:tcBorders>
            <w:shd w:val="clear" w:color="auto" w:fill="auto"/>
            <w:vAlign w:val="center"/>
          </w:tcPr>
          <w:p>
            <w:pPr>
              <w:jc w:val="center"/>
              <w:rPr>
                <w:rFonts w:ascii="楷体_GB2312" w:hAnsi="宋体" w:eastAsia="楷体_GB2312" w:cs="宋体"/>
                <w:sz w:val="20"/>
                <w:szCs w:val="20"/>
              </w:rPr>
            </w:pPr>
            <w:r>
              <w:rPr>
                <w:rFonts w:hint="eastAsia" w:ascii="楷体_GB2312" w:eastAsia="楷体_GB2312"/>
                <w:sz w:val="20"/>
                <w:szCs w:val="20"/>
              </w:rPr>
              <w:t>7.2%</w:t>
            </w:r>
          </w:p>
        </w:tc>
      </w:tr>
      <w:tr>
        <w:tblPrEx>
          <w:tblCellMar>
            <w:top w:w="0" w:type="dxa"/>
            <w:left w:w="108" w:type="dxa"/>
            <w:bottom w:w="0" w:type="dxa"/>
            <w:right w:w="108" w:type="dxa"/>
          </w:tblCellMar>
        </w:tblPrEx>
        <w:trPr>
          <w:trHeight w:val="300" w:hRule="atLeast"/>
        </w:trPr>
        <w:tc>
          <w:tcPr>
            <w:tcW w:w="1711" w:type="dxa"/>
            <w:tcBorders>
              <w:top w:val="nil"/>
              <w:left w:val="single" w:color="auto" w:sz="8" w:space="0"/>
              <w:bottom w:val="single" w:color="auto" w:sz="8" w:space="0"/>
              <w:right w:val="single" w:color="auto" w:sz="8" w:space="0"/>
            </w:tcBorders>
            <w:shd w:val="clear" w:color="000000" w:fill="FFFFFF"/>
            <w:vAlign w:val="center"/>
          </w:tcPr>
          <w:p>
            <w:pPr>
              <w:rPr>
                <w:rFonts w:ascii="楷体_GB2312" w:hAnsi="宋体" w:eastAsia="楷体_GB2312" w:cs="宋体"/>
                <w:b/>
                <w:bCs/>
                <w:color w:val="000000"/>
                <w:sz w:val="20"/>
                <w:szCs w:val="20"/>
              </w:rPr>
            </w:pPr>
            <w:r>
              <w:rPr>
                <w:rFonts w:hint="eastAsia" w:ascii="楷体_GB2312" w:eastAsia="楷体_GB2312"/>
                <w:b/>
                <w:bCs/>
                <w:color w:val="000000"/>
                <w:sz w:val="20"/>
                <w:szCs w:val="20"/>
              </w:rPr>
              <w:t>资源税</w:t>
            </w:r>
          </w:p>
        </w:tc>
        <w:tc>
          <w:tcPr>
            <w:tcW w:w="993" w:type="dxa"/>
            <w:tcBorders>
              <w:top w:val="nil"/>
              <w:left w:val="nil"/>
              <w:bottom w:val="single" w:color="auto" w:sz="8" w:space="0"/>
              <w:right w:val="single" w:color="auto" w:sz="8" w:space="0"/>
            </w:tcBorders>
            <w:shd w:val="clear" w:color="auto" w:fill="auto"/>
            <w:vAlign w:val="center"/>
          </w:tcPr>
          <w:p>
            <w:pPr>
              <w:jc w:val="center"/>
              <w:rPr>
                <w:rFonts w:ascii="楷体_GB2312" w:hAnsi="宋体" w:eastAsia="楷体_GB2312" w:cs="宋体"/>
                <w:color w:val="000000"/>
                <w:sz w:val="20"/>
                <w:szCs w:val="20"/>
              </w:rPr>
            </w:pPr>
            <w:r>
              <w:rPr>
                <w:rFonts w:hint="eastAsia" w:ascii="楷体_GB2312" w:eastAsia="楷体_GB2312"/>
                <w:color w:val="000000"/>
                <w:sz w:val="20"/>
                <w:szCs w:val="20"/>
              </w:rPr>
              <w:t>297</w:t>
            </w:r>
          </w:p>
        </w:tc>
        <w:tc>
          <w:tcPr>
            <w:tcW w:w="850" w:type="dxa"/>
            <w:tcBorders>
              <w:top w:val="nil"/>
              <w:left w:val="nil"/>
              <w:bottom w:val="single" w:color="auto" w:sz="8" w:space="0"/>
              <w:right w:val="single" w:color="auto" w:sz="8" w:space="0"/>
            </w:tcBorders>
            <w:shd w:val="clear" w:color="auto" w:fill="auto"/>
            <w:vAlign w:val="center"/>
          </w:tcPr>
          <w:p>
            <w:pPr>
              <w:jc w:val="center"/>
              <w:rPr>
                <w:rFonts w:ascii="楷体_GB2312" w:hAnsi="宋体" w:eastAsia="楷体_GB2312" w:cs="宋体"/>
                <w:color w:val="000000"/>
                <w:sz w:val="20"/>
                <w:szCs w:val="20"/>
              </w:rPr>
            </w:pPr>
            <w:r>
              <w:rPr>
                <w:rFonts w:hint="eastAsia" w:ascii="楷体_GB2312" w:eastAsia="楷体_GB2312"/>
                <w:color w:val="000000"/>
                <w:sz w:val="20"/>
                <w:szCs w:val="20"/>
              </w:rPr>
              <w:t>0.6%</w:t>
            </w:r>
          </w:p>
        </w:tc>
        <w:tc>
          <w:tcPr>
            <w:tcW w:w="851" w:type="dxa"/>
            <w:tcBorders>
              <w:top w:val="nil"/>
              <w:left w:val="nil"/>
              <w:bottom w:val="single" w:color="auto" w:sz="8" w:space="0"/>
              <w:right w:val="single" w:color="auto" w:sz="8" w:space="0"/>
            </w:tcBorders>
            <w:shd w:val="clear" w:color="auto" w:fill="auto"/>
            <w:vAlign w:val="center"/>
          </w:tcPr>
          <w:p>
            <w:pPr>
              <w:jc w:val="center"/>
              <w:rPr>
                <w:rFonts w:ascii="楷体_GB2312" w:hAnsi="宋体" w:eastAsia="楷体_GB2312" w:cs="宋体"/>
                <w:color w:val="000000"/>
                <w:sz w:val="20"/>
                <w:szCs w:val="20"/>
              </w:rPr>
            </w:pPr>
            <w:r>
              <w:rPr>
                <w:rFonts w:hint="eastAsia" w:ascii="楷体_GB2312" w:eastAsia="楷体_GB2312"/>
                <w:color w:val="000000"/>
                <w:sz w:val="20"/>
                <w:szCs w:val="20"/>
              </w:rPr>
              <w:t>304</w:t>
            </w:r>
          </w:p>
        </w:tc>
        <w:tc>
          <w:tcPr>
            <w:tcW w:w="850" w:type="dxa"/>
            <w:tcBorders>
              <w:top w:val="nil"/>
              <w:left w:val="nil"/>
              <w:bottom w:val="single" w:color="auto" w:sz="8" w:space="0"/>
              <w:right w:val="single" w:color="auto" w:sz="8" w:space="0"/>
            </w:tcBorders>
            <w:shd w:val="clear" w:color="auto" w:fill="auto"/>
            <w:vAlign w:val="center"/>
          </w:tcPr>
          <w:p>
            <w:pPr>
              <w:jc w:val="center"/>
              <w:rPr>
                <w:rFonts w:ascii="楷体_GB2312" w:hAnsi="宋体" w:eastAsia="楷体_GB2312" w:cs="宋体"/>
                <w:color w:val="000000"/>
                <w:sz w:val="20"/>
                <w:szCs w:val="20"/>
              </w:rPr>
            </w:pPr>
            <w:r>
              <w:rPr>
                <w:rFonts w:hint="eastAsia" w:ascii="楷体_GB2312" w:eastAsia="楷体_GB2312"/>
                <w:color w:val="000000"/>
                <w:sz w:val="20"/>
                <w:szCs w:val="20"/>
              </w:rPr>
              <w:t>0.6%</w:t>
            </w:r>
          </w:p>
        </w:tc>
        <w:tc>
          <w:tcPr>
            <w:tcW w:w="992" w:type="dxa"/>
            <w:tcBorders>
              <w:top w:val="nil"/>
              <w:left w:val="nil"/>
              <w:bottom w:val="single" w:color="auto" w:sz="8" w:space="0"/>
              <w:right w:val="single" w:color="auto" w:sz="8" w:space="0"/>
            </w:tcBorders>
            <w:shd w:val="clear" w:color="auto" w:fill="auto"/>
            <w:vAlign w:val="center"/>
          </w:tcPr>
          <w:p>
            <w:pPr>
              <w:jc w:val="center"/>
              <w:rPr>
                <w:rFonts w:ascii="楷体_GB2312" w:hAnsi="宋体" w:eastAsia="楷体_GB2312" w:cs="宋体"/>
                <w:sz w:val="20"/>
                <w:szCs w:val="20"/>
              </w:rPr>
            </w:pPr>
            <w:r>
              <w:rPr>
                <w:rFonts w:hint="eastAsia" w:ascii="楷体_GB2312" w:eastAsia="楷体_GB2312"/>
                <w:sz w:val="20"/>
                <w:szCs w:val="20"/>
              </w:rPr>
              <w:t>-7</w:t>
            </w:r>
          </w:p>
        </w:tc>
        <w:tc>
          <w:tcPr>
            <w:tcW w:w="1134" w:type="dxa"/>
            <w:tcBorders>
              <w:top w:val="nil"/>
              <w:left w:val="nil"/>
              <w:bottom w:val="single" w:color="auto" w:sz="8" w:space="0"/>
              <w:right w:val="single" w:color="auto" w:sz="8" w:space="0"/>
            </w:tcBorders>
            <w:shd w:val="clear" w:color="auto" w:fill="auto"/>
            <w:vAlign w:val="center"/>
          </w:tcPr>
          <w:p>
            <w:pPr>
              <w:jc w:val="center"/>
              <w:rPr>
                <w:rFonts w:ascii="楷体_GB2312" w:hAnsi="宋体" w:eastAsia="楷体_GB2312" w:cs="宋体"/>
                <w:sz w:val="20"/>
                <w:szCs w:val="20"/>
              </w:rPr>
            </w:pPr>
            <w:r>
              <w:rPr>
                <w:rFonts w:hint="eastAsia" w:ascii="楷体_GB2312" w:eastAsia="楷体_GB2312"/>
                <w:sz w:val="20"/>
                <w:szCs w:val="20"/>
              </w:rPr>
              <w:t>-2.3%</w:t>
            </w:r>
          </w:p>
        </w:tc>
      </w:tr>
      <w:tr>
        <w:tblPrEx>
          <w:tblCellMar>
            <w:top w:w="0" w:type="dxa"/>
            <w:left w:w="108" w:type="dxa"/>
            <w:bottom w:w="0" w:type="dxa"/>
            <w:right w:w="108" w:type="dxa"/>
          </w:tblCellMar>
        </w:tblPrEx>
        <w:trPr>
          <w:trHeight w:val="318" w:hRule="atLeast"/>
        </w:trPr>
        <w:tc>
          <w:tcPr>
            <w:tcW w:w="1711" w:type="dxa"/>
            <w:tcBorders>
              <w:top w:val="nil"/>
              <w:left w:val="single" w:color="auto" w:sz="8" w:space="0"/>
              <w:bottom w:val="single" w:color="auto" w:sz="8" w:space="0"/>
              <w:right w:val="single" w:color="auto" w:sz="8" w:space="0"/>
            </w:tcBorders>
            <w:shd w:val="clear" w:color="000000" w:fill="FFFFFF"/>
            <w:vAlign w:val="center"/>
          </w:tcPr>
          <w:p>
            <w:pPr>
              <w:rPr>
                <w:rFonts w:ascii="楷体_GB2312" w:hAnsi="宋体" w:eastAsia="楷体_GB2312" w:cs="宋体"/>
                <w:b/>
                <w:bCs/>
                <w:color w:val="000000"/>
                <w:sz w:val="20"/>
                <w:szCs w:val="20"/>
              </w:rPr>
            </w:pPr>
            <w:r>
              <w:rPr>
                <w:rFonts w:hint="eastAsia" w:ascii="楷体_GB2312" w:eastAsia="楷体_GB2312"/>
                <w:b/>
                <w:bCs/>
                <w:color w:val="000000"/>
                <w:sz w:val="20"/>
                <w:szCs w:val="20"/>
              </w:rPr>
              <w:t>城市维护建设税</w:t>
            </w:r>
          </w:p>
        </w:tc>
        <w:tc>
          <w:tcPr>
            <w:tcW w:w="993" w:type="dxa"/>
            <w:tcBorders>
              <w:top w:val="nil"/>
              <w:left w:val="nil"/>
              <w:bottom w:val="single" w:color="auto" w:sz="8" w:space="0"/>
              <w:right w:val="single" w:color="auto" w:sz="8" w:space="0"/>
            </w:tcBorders>
            <w:shd w:val="clear" w:color="auto" w:fill="auto"/>
            <w:vAlign w:val="center"/>
          </w:tcPr>
          <w:p>
            <w:pPr>
              <w:jc w:val="center"/>
              <w:rPr>
                <w:rFonts w:ascii="楷体_GB2312" w:hAnsi="宋体" w:eastAsia="楷体_GB2312" w:cs="宋体"/>
                <w:color w:val="000000"/>
                <w:sz w:val="20"/>
                <w:szCs w:val="20"/>
              </w:rPr>
            </w:pPr>
            <w:r>
              <w:rPr>
                <w:rFonts w:hint="eastAsia" w:ascii="楷体_GB2312" w:eastAsia="楷体_GB2312"/>
                <w:color w:val="000000"/>
                <w:sz w:val="20"/>
                <w:szCs w:val="20"/>
              </w:rPr>
              <w:t>2939</w:t>
            </w:r>
          </w:p>
        </w:tc>
        <w:tc>
          <w:tcPr>
            <w:tcW w:w="850" w:type="dxa"/>
            <w:tcBorders>
              <w:top w:val="nil"/>
              <w:left w:val="nil"/>
              <w:bottom w:val="single" w:color="auto" w:sz="8" w:space="0"/>
              <w:right w:val="single" w:color="auto" w:sz="8" w:space="0"/>
            </w:tcBorders>
            <w:shd w:val="clear" w:color="auto" w:fill="auto"/>
            <w:vAlign w:val="center"/>
          </w:tcPr>
          <w:p>
            <w:pPr>
              <w:jc w:val="center"/>
              <w:rPr>
                <w:rFonts w:ascii="楷体_GB2312" w:hAnsi="宋体" w:eastAsia="楷体_GB2312" w:cs="宋体"/>
                <w:color w:val="000000"/>
                <w:sz w:val="20"/>
                <w:szCs w:val="20"/>
              </w:rPr>
            </w:pPr>
            <w:r>
              <w:rPr>
                <w:rFonts w:hint="eastAsia" w:ascii="楷体_GB2312" w:eastAsia="楷体_GB2312"/>
                <w:color w:val="000000"/>
                <w:sz w:val="20"/>
                <w:szCs w:val="20"/>
              </w:rPr>
              <w:t>5.9%</w:t>
            </w:r>
          </w:p>
        </w:tc>
        <w:tc>
          <w:tcPr>
            <w:tcW w:w="851" w:type="dxa"/>
            <w:tcBorders>
              <w:top w:val="nil"/>
              <w:left w:val="nil"/>
              <w:bottom w:val="single" w:color="auto" w:sz="8" w:space="0"/>
              <w:right w:val="single" w:color="auto" w:sz="8" w:space="0"/>
            </w:tcBorders>
            <w:shd w:val="clear" w:color="auto" w:fill="auto"/>
            <w:vAlign w:val="center"/>
          </w:tcPr>
          <w:p>
            <w:pPr>
              <w:jc w:val="center"/>
              <w:rPr>
                <w:rFonts w:ascii="楷体_GB2312" w:hAnsi="宋体" w:eastAsia="楷体_GB2312" w:cs="宋体"/>
                <w:color w:val="000000"/>
                <w:sz w:val="20"/>
                <w:szCs w:val="20"/>
              </w:rPr>
            </w:pPr>
            <w:r>
              <w:rPr>
                <w:rFonts w:hint="eastAsia" w:ascii="楷体_GB2312" w:eastAsia="楷体_GB2312"/>
                <w:color w:val="000000"/>
                <w:sz w:val="20"/>
                <w:szCs w:val="20"/>
              </w:rPr>
              <w:t>2660</w:t>
            </w:r>
          </w:p>
        </w:tc>
        <w:tc>
          <w:tcPr>
            <w:tcW w:w="850" w:type="dxa"/>
            <w:tcBorders>
              <w:top w:val="nil"/>
              <w:left w:val="nil"/>
              <w:bottom w:val="single" w:color="auto" w:sz="8" w:space="0"/>
              <w:right w:val="single" w:color="auto" w:sz="8" w:space="0"/>
            </w:tcBorders>
            <w:shd w:val="clear" w:color="auto" w:fill="auto"/>
            <w:vAlign w:val="center"/>
          </w:tcPr>
          <w:p>
            <w:pPr>
              <w:jc w:val="center"/>
              <w:rPr>
                <w:rFonts w:ascii="楷体_GB2312" w:hAnsi="宋体" w:eastAsia="楷体_GB2312" w:cs="宋体"/>
                <w:color w:val="000000"/>
                <w:sz w:val="20"/>
                <w:szCs w:val="20"/>
              </w:rPr>
            </w:pPr>
            <w:r>
              <w:rPr>
                <w:rFonts w:hint="eastAsia" w:ascii="楷体_GB2312" w:eastAsia="楷体_GB2312"/>
                <w:color w:val="000000"/>
                <w:sz w:val="20"/>
                <w:szCs w:val="20"/>
              </w:rPr>
              <w:t>5.5%</w:t>
            </w:r>
          </w:p>
        </w:tc>
        <w:tc>
          <w:tcPr>
            <w:tcW w:w="992" w:type="dxa"/>
            <w:tcBorders>
              <w:top w:val="nil"/>
              <w:left w:val="nil"/>
              <w:bottom w:val="single" w:color="auto" w:sz="8" w:space="0"/>
              <w:right w:val="single" w:color="auto" w:sz="8" w:space="0"/>
            </w:tcBorders>
            <w:shd w:val="clear" w:color="auto" w:fill="auto"/>
            <w:vAlign w:val="center"/>
          </w:tcPr>
          <w:p>
            <w:pPr>
              <w:jc w:val="center"/>
              <w:rPr>
                <w:rFonts w:ascii="楷体_GB2312" w:hAnsi="宋体" w:eastAsia="楷体_GB2312" w:cs="宋体"/>
                <w:sz w:val="20"/>
                <w:szCs w:val="20"/>
              </w:rPr>
            </w:pPr>
            <w:r>
              <w:rPr>
                <w:rFonts w:hint="eastAsia" w:ascii="楷体_GB2312" w:eastAsia="楷体_GB2312"/>
                <w:sz w:val="20"/>
                <w:szCs w:val="20"/>
              </w:rPr>
              <w:t>279</w:t>
            </w:r>
          </w:p>
        </w:tc>
        <w:tc>
          <w:tcPr>
            <w:tcW w:w="1134" w:type="dxa"/>
            <w:tcBorders>
              <w:top w:val="nil"/>
              <w:left w:val="nil"/>
              <w:bottom w:val="single" w:color="auto" w:sz="8" w:space="0"/>
              <w:right w:val="single" w:color="auto" w:sz="8" w:space="0"/>
            </w:tcBorders>
            <w:shd w:val="clear" w:color="auto" w:fill="auto"/>
            <w:vAlign w:val="center"/>
          </w:tcPr>
          <w:p>
            <w:pPr>
              <w:jc w:val="center"/>
              <w:rPr>
                <w:rFonts w:ascii="楷体_GB2312" w:hAnsi="宋体" w:eastAsia="楷体_GB2312" w:cs="宋体"/>
                <w:sz w:val="20"/>
                <w:szCs w:val="20"/>
              </w:rPr>
            </w:pPr>
            <w:r>
              <w:rPr>
                <w:rFonts w:hint="eastAsia" w:ascii="楷体_GB2312" w:eastAsia="楷体_GB2312"/>
                <w:sz w:val="20"/>
                <w:szCs w:val="20"/>
              </w:rPr>
              <w:t>10.5%</w:t>
            </w:r>
          </w:p>
        </w:tc>
      </w:tr>
      <w:tr>
        <w:tblPrEx>
          <w:tblCellMar>
            <w:top w:w="0" w:type="dxa"/>
            <w:left w:w="108" w:type="dxa"/>
            <w:bottom w:w="0" w:type="dxa"/>
            <w:right w:w="108" w:type="dxa"/>
          </w:tblCellMar>
        </w:tblPrEx>
        <w:trPr>
          <w:trHeight w:val="300" w:hRule="atLeast"/>
        </w:trPr>
        <w:tc>
          <w:tcPr>
            <w:tcW w:w="1711" w:type="dxa"/>
            <w:tcBorders>
              <w:top w:val="nil"/>
              <w:left w:val="single" w:color="auto" w:sz="8" w:space="0"/>
              <w:bottom w:val="single" w:color="auto" w:sz="8" w:space="0"/>
              <w:right w:val="single" w:color="auto" w:sz="8" w:space="0"/>
            </w:tcBorders>
            <w:shd w:val="clear" w:color="000000" w:fill="FFFFFF"/>
            <w:vAlign w:val="center"/>
          </w:tcPr>
          <w:p>
            <w:pPr>
              <w:rPr>
                <w:rFonts w:ascii="楷体_GB2312" w:hAnsi="宋体" w:eastAsia="楷体_GB2312" w:cs="宋体"/>
                <w:b/>
                <w:bCs/>
                <w:color w:val="000000"/>
                <w:sz w:val="20"/>
                <w:szCs w:val="20"/>
              </w:rPr>
            </w:pPr>
            <w:r>
              <w:rPr>
                <w:rFonts w:hint="eastAsia" w:ascii="楷体_GB2312" w:eastAsia="楷体_GB2312"/>
                <w:b/>
                <w:bCs/>
                <w:color w:val="000000"/>
                <w:sz w:val="20"/>
                <w:szCs w:val="20"/>
              </w:rPr>
              <w:t>房产税</w:t>
            </w:r>
          </w:p>
        </w:tc>
        <w:tc>
          <w:tcPr>
            <w:tcW w:w="993" w:type="dxa"/>
            <w:tcBorders>
              <w:top w:val="nil"/>
              <w:left w:val="nil"/>
              <w:bottom w:val="single" w:color="auto" w:sz="8" w:space="0"/>
              <w:right w:val="single" w:color="auto" w:sz="8" w:space="0"/>
            </w:tcBorders>
            <w:shd w:val="clear" w:color="auto" w:fill="auto"/>
            <w:vAlign w:val="center"/>
          </w:tcPr>
          <w:p>
            <w:pPr>
              <w:jc w:val="center"/>
              <w:rPr>
                <w:rFonts w:ascii="楷体_GB2312" w:hAnsi="宋体" w:eastAsia="楷体_GB2312" w:cs="宋体"/>
                <w:color w:val="000000"/>
                <w:sz w:val="20"/>
                <w:szCs w:val="20"/>
              </w:rPr>
            </w:pPr>
            <w:r>
              <w:rPr>
                <w:rFonts w:hint="eastAsia" w:ascii="楷体_GB2312" w:eastAsia="楷体_GB2312"/>
                <w:color w:val="000000"/>
                <w:sz w:val="20"/>
                <w:szCs w:val="20"/>
              </w:rPr>
              <w:t>1834</w:t>
            </w:r>
          </w:p>
        </w:tc>
        <w:tc>
          <w:tcPr>
            <w:tcW w:w="850" w:type="dxa"/>
            <w:tcBorders>
              <w:top w:val="nil"/>
              <w:left w:val="nil"/>
              <w:bottom w:val="single" w:color="auto" w:sz="8" w:space="0"/>
              <w:right w:val="single" w:color="auto" w:sz="8" w:space="0"/>
            </w:tcBorders>
            <w:shd w:val="clear" w:color="auto" w:fill="auto"/>
            <w:vAlign w:val="center"/>
          </w:tcPr>
          <w:p>
            <w:pPr>
              <w:jc w:val="center"/>
              <w:rPr>
                <w:rFonts w:ascii="楷体_GB2312" w:hAnsi="宋体" w:eastAsia="楷体_GB2312" w:cs="宋体"/>
                <w:color w:val="000000"/>
                <w:sz w:val="20"/>
                <w:szCs w:val="20"/>
              </w:rPr>
            </w:pPr>
            <w:r>
              <w:rPr>
                <w:rFonts w:hint="eastAsia" w:ascii="楷体_GB2312" w:eastAsia="楷体_GB2312"/>
                <w:color w:val="000000"/>
                <w:sz w:val="20"/>
                <w:szCs w:val="20"/>
              </w:rPr>
              <w:t>3.7%</w:t>
            </w:r>
          </w:p>
        </w:tc>
        <w:tc>
          <w:tcPr>
            <w:tcW w:w="851" w:type="dxa"/>
            <w:tcBorders>
              <w:top w:val="nil"/>
              <w:left w:val="nil"/>
              <w:bottom w:val="single" w:color="auto" w:sz="8" w:space="0"/>
              <w:right w:val="single" w:color="auto" w:sz="8" w:space="0"/>
            </w:tcBorders>
            <w:shd w:val="clear" w:color="auto" w:fill="auto"/>
            <w:vAlign w:val="center"/>
          </w:tcPr>
          <w:p>
            <w:pPr>
              <w:jc w:val="center"/>
              <w:rPr>
                <w:rFonts w:ascii="楷体_GB2312" w:hAnsi="宋体" w:eastAsia="楷体_GB2312" w:cs="宋体"/>
                <w:color w:val="000000"/>
                <w:sz w:val="20"/>
                <w:szCs w:val="20"/>
              </w:rPr>
            </w:pPr>
            <w:r>
              <w:rPr>
                <w:rFonts w:hint="eastAsia" w:ascii="楷体_GB2312" w:eastAsia="楷体_GB2312"/>
                <w:color w:val="000000"/>
                <w:sz w:val="20"/>
                <w:szCs w:val="20"/>
              </w:rPr>
              <w:t>1750</w:t>
            </w:r>
          </w:p>
        </w:tc>
        <w:tc>
          <w:tcPr>
            <w:tcW w:w="850" w:type="dxa"/>
            <w:tcBorders>
              <w:top w:val="nil"/>
              <w:left w:val="nil"/>
              <w:bottom w:val="single" w:color="auto" w:sz="8" w:space="0"/>
              <w:right w:val="single" w:color="auto" w:sz="8" w:space="0"/>
            </w:tcBorders>
            <w:shd w:val="clear" w:color="auto" w:fill="auto"/>
            <w:vAlign w:val="center"/>
          </w:tcPr>
          <w:p>
            <w:pPr>
              <w:jc w:val="center"/>
              <w:rPr>
                <w:rFonts w:ascii="楷体_GB2312" w:hAnsi="宋体" w:eastAsia="楷体_GB2312" w:cs="宋体"/>
                <w:color w:val="000000"/>
                <w:sz w:val="20"/>
                <w:szCs w:val="20"/>
              </w:rPr>
            </w:pPr>
            <w:r>
              <w:rPr>
                <w:rFonts w:hint="eastAsia" w:ascii="楷体_GB2312" w:eastAsia="楷体_GB2312"/>
                <w:color w:val="000000"/>
                <w:sz w:val="20"/>
                <w:szCs w:val="20"/>
              </w:rPr>
              <w:t>3.6%</w:t>
            </w:r>
          </w:p>
        </w:tc>
        <w:tc>
          <w:tcPr>
            <w:tcW w:w="992" w:type="dxa"/>
            <w:tcBorders>
              <w:top w:val="nil"/>
              <w:left w:val="nil"/>
              <w:bottom w:val="single" w:color="auto" w:sz="8" w:space="0"/>
              <w:right w:val="single" w:color="auto" w:sz="8" w:space="0"/>
            </w:tcBorders>
            <w:shd w:val="clear" w:color="auto" w:fill="auto"/>
            <w:vAlign w:val="center"/>
          </w:tcPr>
          <w:p>
            <w:pPr>
              <w:jc w:val="center"/>
              <w:rPr>
                <w:rFonts w:ascii="楷体_GB2312" w:hAnsi="宋体" w:eastAsia="楷体_GB2312" w:cs="宋体"/>
                <w:sz w:val="20"/>
                <w:szCs w:val="20"/>
              </w:rPr>
            </w:pPr>
            <w:r>
              <w:rPr>
                <w:rFonts w:hint="eastAsia" w:ascii="楷体_GB2312" w:eastAsia="楷体_GB2312"/>
                <w:sz w:val="20"/>
                <w:szCs w:val="20"/>
              </w:rPr>
              <w:t>84</w:t>
            </w:r>
          </w:p>
        </w:tc>
        <w:tc>
          <w:tcPr>
            <w:tcW w:w="1134" w:type="dxa"/>
            <w:tcBorders>
              <w:top w:val="nil"/>
              <w:left w:val="nil"/>
              <w:bottom w:val="single" w:color="auto" w:sz="8" w:space="0"/>
              <w:right w:val="single" w:color="auto" w:sz="8" w:space="0"/>
            </w:tcBorders>
            <w:shd w:val="clear" w:color="auto" w:fill="auto"/>
            <w:vAlign w:val="center"/>
          </w:tcPr>
          <w:p>
            <w:pPr>
              <w:jc w:val="center"/>
              <w:rPr>
                <w:rFonts w:ascii="楷体_GB2312" w:hAnsi="宋体" w:eastAsia="楷体_GB2312" w:cs="宋体"/>
                <w:sz w:val="20"/>
                <w:szCs w:val="20"/>
              </w:rPr>
            </w:pPr>
            <w:r>
              <w:rPr>
                <w:rFonts w:hint="eastAsia" w:ascii="楷体_GB2312" w:eastAsia="楷体_GB2312"/>
                <w:sz w:val="20"/>
                <w:szCs w:val="20"/>
              </w:rPr>
              <w:t>4.8%</w:t>
            </w:r>
          </w:p>
        </w:tc>
      </w:tr>
      <w:tr>
        <w:tblPrEx>
          <w:tblCellMar>
            <w:top w:w="0" w:type="dxa"/>
            <w:left w:w="108" w:type="dxa"/>
            <w:bottom w:w="0" w:type="dxa"/>
            <w:right w:w="108" w:type="dxa"/>
          </w:tblCellMar>
        </w:tblPrEx>
        <w:trPr>
          <w:trHeight w:val="300" w:hRule="atLeast"/>
        </w:trPr>
        <w:tc>
          <w:tcPr>
            <w:tcW w:w="1711" w:type="dxa"/>
            <w:tcBorders>
              <w:top w:val="nil"/>
              <w:left w:val="single" w:color="auto" w:sz="8" w:space="0"/>
              <w:bottom w:val="single" w:color="auto" w:sz="8" w:space="0"/>
              <w:right w:val="single" w:color="auto" w:sz="8" w:space="0"/>
            </w:tcBorders>
            <w:shd w:val="clear" w:color="000000" w:fill="FFFFFF"/>
            <w:vAlign w:val="center"/>
          </w:tcPr>
          <w:p>
            <w:pPr>
              <w:rPr>
                <w:rFonts w:ascii="楷体_GB2312" w:hAnsi="宋体" w:eastAsia="楷体_GB2312" w:cs="宋体"/>
                <w:b/>
                <w:bCs/>
                <w:color w:val="000000"/>
                <w:sz w:val="20"/>
                <w:szCs w:val="20"/>
              </w:rPr>
            </w:pPr>
            <w:r>
              <w:rPr>
                <w:rFonts w:hint="eastAsia" w:ascii="楷体_GB2312" w:eastAsia="楷体_GB2312"/>
                <w:b/>
                <w:bCs/>
                <w:color w:val="000000"/>
                <w:sz w:val="20"/>
                <w:szCs w:val="20"/>
              </w:rPr>
              <w:t>印花税</w:t>
            </w:r>
          </w:p>
        </w:tc>
        <w:tc>
          <w:tcPr>
            <w:tcW w:w="993" w:type="dxa"/>
            <w:tcBorders>
              <w:top w:val="nil"/>
              <w:left w:val="nil"/>
              <w:bottom w:val="single" w:color="auto" w:sz="8" w:space="0"/>
              <w:right w:val="single" w:color="auto" w:sz="8" w:space="0"/>
            </w:tcBorders>
            <w:shd w:val="clear" w:color="auto" w:fill="auto"/>
            <w:vAlign w:val="center"/>
          </w:tcPr>
          <w:p>
            <w:pPr>
              <w:jc w:val="center"/>
              <w:rPr>
                <w:rFonts w:ascii="楷体_GB2312" w:hAnsi="宋体" w:eastAsia="楷体_GB2312" w:cs="宋体"/>
                <w:color w:val="000000"/>
                <w:sz w:val="20"/>
                <w:szCs w:val="20"/>
              </w:rPr>
            </w:pPr>
            <w:r>
              <w:rPr>
                <w:rFonts w:hint="eastAsia" w:ascii="楷体_GB2312" w:eastAsia="楷体_GB2312"/>
                <w:color w:val="000000"/>
                <w:sz w:val="20"/>
                <w:szCs w:val="20"/>
              </w:rPr>
              <w:t>1028</w:t>
            </w:r>
          </w:p>
        </w:tc>
        <w:tc>
          <w:tcPr>
            <w:tcW w:w="850" w:type="dxa"/>
            <w:tcBorders>
              <w:top w:val="nil"/>
              <w:left w:val="nil"/>
              <w:bottom w:val="single" w:color="auto" w:sz="8" w:space="0"/>
              <w:right w:val="single" w:color="auto" w:sz="8" w:space="0"/>
            </w:tcBorders>
            <w:shd w:val="clear" w:color="auto" w:fill="auto"/>
            <w:vAlign w:val="center"/>
          </w:tcPr>
          <w:p>
            <w:pPr>
              <w:jc w:val="center"/>
              <w:rPr>
                <w:rFonts w:ascii="楷体_GB2312" w:hAnsi="宋体" w:eastAsia="楷体_GB2312" w:cs="宋体"/>
                <w:color w:val="000000"/>
                <w:sz w:val="20"/>
                <w:szCs w:val="20"/>
              </w:rPr>
            </w:pPr>
            <w:r>
              <w:rPr>
                <w:rFonts w:hint="eastAsia" w:ascii="楷体_GB2312" w:eastAsia="楷体_GB2312"/>
                <w:color w:val="000000"/>
                <w:sz w:val="20"/>
                <w:szCs w:val="20"/>
              </w:rPr>
              <w:t>2.0%</w:t>
            </w:r>
          </w:p>
        </w:tc>
        <w:tc>
          <w:tcPr>
            <w:tcW w:w="851" w:type="dxa"/>
            <w:tcBorders>
              <w:top w:val="nil"/>
              <w:left w:val="nil"/>
              <w:bottom w:val="single" w:color="auto" w:sz="8" w:space="0"/>
              <w:right w:val="single" w:color="auto" w:sz="8" w:space="0"/>
            </w:tcBorders>
            <w:shd w:val="clear" w:color="auto" w:fill="auto"/>
            <w:vAlign w:val="center"/>
          </w:tcPr>
          <w:p>
            <w:pPr>
              <w:jc w:val="center"/>
              <w:rPr>
                <w:rFonts w:ascii="楷体_GB2312" w:hAnsi="宋体" w:eastAsia="楷体_GB2312" w:cs="宋体"/>
                <w:color w:val="000000"/>
                <w:sz w:val="20"/>
                <w:szCs w:val="20"/>
              </w:rPr>
            </w:pPr>
            <w:r>
              <w:rPr>
                <w:rFonts w:hint="eastAsia" w:ascii="楷体_GB2312" w:eastAsia="楷体_GB2312"/>
                <w:color w:val="000000"/>
                <w:sz w:val="20"/>
                <w:szCs w:val="20"/>
              </w:rPr>
              <w:t>994</w:t>
            </w:r>
          </w:p>
        </w:tc>
        <w:tc>
          <w:tcPr>
            <w:tcW w:w="850" w:type="dxa"/>
            <w:tcBorders>
              <w:top w:val="nil"/>
              <w:left w:val="nil"/>
              <w:bottom w:val="single" w:color="auto" w:sz="8" w:space="0"/>
              <w:right w:val="single" w:color="auto" w:sz="8" w:space="0"/>
            </w:tcBorders>
            <w:shd w:val="clear" w:color="auto" w:fill="auto"/>
            <w:vAlign w:val="center"/>
          </w:tcPr>
          <w:p>
            <w:pPr>
              <w:jc w:val="center"/>
              <w:rPr>
                <w:rFonts w:ascii="楷体_GB2312" w:hAnsi="宋体" w:eastAsia="楷体_GB2312" w:cs="宋体"/>
                <w:color w:val="000000"/>
                <w:sz w:val="20"/>
                <w:szCs w:val="20"/>
              </w:rPr>
            </w:pPr>
            <w:r>
              <w:rPr>
                <w:rFonts w:hint="eastAsia" w:ascii="楷体_GB2312" w:eastAsia="楷体_GB2312"/>
                <w:color w:val="000000"/>
                <w:sz w:val="20"/>
                <w:szCs w:val="20"/>
              </w:rPr>
              <w:t>2.0%</w:t>
            </w:r>
          </w:p>
        </w:tc>
        <w:tc>
          <w:tcPr>
            <w:tcW w:w="992" w:type="dxa"/>
            <w:tcBorders>
              <w:top w:val="nil"/>
              <w:left w:val="nil"/>
              <w:bottom w:val="single" w:color="auto" w:sz="8" w:space="0"/>
              <w:right w:val="single" w:color="auto" w:sz="8" w:space="0"/>
            </w:tcBorders>
            <w:shd w:val="clear" w:color="auto" w:fill="auto"/>
            <w:vAlign w:val="center"/>
          </w:tcPr>
          <w:p>
            <w:pPr>
              <w:jc w:val="center"/>
              <w:rPr>
                <w:rFonts w:ascii="楷体_GB2312" w:hAnsi="宋体" w:eastAsia="楷体_GB2312" w:cs="宋体"/>
                <w:sz w:val="20"/>
                <w:szCs w:val="20"/>
              </w:rPr>
            </w:pPr>
            <w:r>
              <w:rPr>
                <w:rFonts w:hint="eastAsia" w:ascii="楷体_GB2312" w:eastAsia="楷体_GB2312"/>
                <w:sz w:val="20"/>
                <w:szCs w:val="20"/>
              </w:rPr>
              <w:t>34</w:t>
            </w:r>
          </w:p>
        </w:tc>
        <w:tc>
          <w:tcPr>
            <w:tcW w:w="1134" w:type="dxa"/>
            <w:tcBorders>
              <w:top w:val="nil"/>
              <w:left w:val="nil"/>
              <w:bottom w:val="single" w:color="auto" w:sz="8" w:space="0"/>
              <w:right w:val="single" w:color="auto" w:sz="8" w:space="0"/>
            </w:tcBorders>
            <w:shd w:val="clear" w:color="auto" w:fill="auto"/>
            <w:vAlign w:val="center"/>
          </w:tcPr>
          <w:p>
            <w:pPr>
              <w:jc w:val="center"/>
              <w:rPr>
                <w:rFonts w:ascii="楷体_GB2312" w:hAnsi="宋体" w:eastAsia="楷体_GB2312" w:cs="宋体"/>
                <w:sz w:val="20"/>
                <w:szCs w:val="20"/>
              </w:rPr>
            </w:pPr>
            <w:r>
              <w:rPr>
                <w:rFonts w:hint="eastAsia" w:ascii="楷体_GB2312" w:eastAsia="楷体_GB2312"/>
                <w:sz w:val="20"/>
                <w:szCs w:val="20"/>
              </w:rPr>
              <w:t>3.4%</w:t>
            </w:r>
          </w:p>
        </w:tc>
      </w:tr>
      <w:tr>
        <w:tblPrEx>
          <w:tblCellMar>
            <w:top w:w="0" w:type="dxa"/>
            <w:left w:w="108" w:type="dxa"/>
            <w:bottom w:w="0" w:type="dxa"/>
            <w:right w:w="108" w:type="dxa"/>
          </w:tblCellMar>
        </w:tblPrEx>
        <w:trPr>
          <w:trHeight w:val="378" w:hRule="atLeast"/>
        </w:trPr>
        <w:tc>
          <w:tcPr>
            <w:tcW w:w="1711" w:type="dxa"/>
            <w:tcBorders>
              <w:top w:val="nil"/>
              <w:left w:val="single" w:color="auto" w:sz="8" w:space="0"/>
              <w:bottom w:val="single" w:color="auto" w:sz="8" w:space="0"/>
              <w:right w:val="single" w:color="auto" w:sz="8" w:space="0"/>
            </w:tcBorders>
            <w:shd w:val="clear" w:color="000000" w:fill="FFFFFF"/>
            <w:vAlign w:val="center"/>
          </w:tcPr>
          <w:p>
            <w:pPr>
              <w:rPr>
                <w:rFonts w:ascii="楷体_GB2312" w:hAnsi="宋体" w:eastAsia="楷体_GB2312" w:cs="宋体"/>
                <w:b/>
                <w:bCs/>
                <w:color w:val="000000"/>
                <w:sz w:val="20"/>
                <w:szCs w:val="20"/>
              </w:rPr>
            </w:pPr>
            <w:r>
              <w:rPr>
                <w:rFonts w:hint="eastAsia" w:ascii="楷体_GB2312" w:eastAsia="楷体_GB2312"/>
                <w:b/>
                <w:bCs/>
                <w:color w:val="000000"/>
                <w:sz w:val="20"/>
                <w:szCs w:val="20"/>
              </w:rPr>
              <w:t>城镇土地使用税</w:t>
            </w:r>
          </w:p>
        </w:tc>
        <w:tc>
          <w:tcPr>
            <w:tcW w:w="993" w:type="dxa"/>
            <w:tcBorders>
              <w:top w:val="nil"/>
              <w:left w:val="nil"/>
              <w:bottom w:val="single" w:color="auto" w:sz="8" w:space="0"/>
              <w:right w:val="single" w:color="auto" w:sz="8" w:space="0"/>
            </w:tcBorders>
            <w:shd w:val="clear" w:color="auto" w:fill="auto"/>
            <w:vAlign w:val="center"/>
          </w:tcPr>
          <w:p>
            <w:pPr>
              <w:jc w:val="center"/>
              <w:rPr>
                <w:rFonts w:ascii="楷体_GB2312" w:hAnsi="宋体" w:eastAsia="楷体_GB2312" w:cs="宋体"/>
                <w:color w:val="000000"/>
                <w:sz w:val="20"/>
                <w:szCs w:val="20"/>
              </w:rPr>
            </w:pPr>
            <w:r>
              <w:rPr>
                <w:rFonts w:hint="eastAsia" w:ascii="楷体_GB2312" w:eastAsia="楷体_GB2312"/>
                <w:color w:val="000000"/>
                <w:sz w:val="20"/>
                <w:szCs w:val="20"/>
              </w:rPr>
              <w:t>1270</w:t>
            </w:r>
          </w:p>
        </w:tc>
        <w:tc>
          <w:tcPr>
            <w:tcW w:w="850" w:type="dxa"/>
            <w:tcBorders>
              <w:top w:val="nil"/>
              <w:left w:val="nil"/>
              <w:bottom w:val="single" w:color="auto" w:sz="8" w:space="0"/>
              <w:right w:val="single" w:color="auto" w:sz="8" w:space="0"/>
            </w:tcBorders>
            <w:shd w:val="clear" w:color="auto" w:fill="auto"/>
            <w:vAlign w:val="center"/>
          </w:tcPr>
          <w:p>
            <w:pPr>
              <w:jc w:val="center"/>
              <w:rPr>
                <w:rFonts w:ascii="楷体_GB2312" w:hAnsi="宋体" w:eastAsia="楷体_GB2312" w:cs="宋体"/>
                <w:color w:val="000000"/>
                <w:sz w:val="20"/>
                <w:szCs w:val="20"/>
              </w:rPr>
            </w:pPr>
            <w:r>
              <w:rPr>
                <w:rFonts w:hint="eastAsia" w:ascii="楷体_GB2312" w:eastAsia="楷体_GB2312"/>
                <w:color w:val="000000"/>
                <w:sz w:val="20"/>
                <w:szCs w:val="20"/>
              </w:rPr>
              <w:t>2.5%</w:t>
            </w:r>
          </w:p>
        </w:tc>
        <w:tc>
          <w:tcPr>
            <w:tcW w:w="851" w:type="dxa"/>
            <w:tcBorders>
              <w:top w:val="nil"/>
              <w:left w:val="nil"/>
              <w:bottom w:val="single" w:color="auto" w:sz="8" w:space="0"/>
              <w:right w:val="single" w:color="auto" w:sz="8" w:space="0"/>
            </w:tcBorders>
            <w:shd w:val="clear" w:color="auto" w:fill="auto"/>
            <w:vAlign w:val="center"/>
          </w:tcPr>
          <w:p>
            <w:pPr>
              <w:jc w:val="center"/>
              <w:rPr>
                <w:rFonts w:ascii="楷体_GB2312" w:hAnsi="宋体" w:eastAsia="楷体_GB2312" w:cs="宋体"/>
                <w:color w:val="000000"/>
                <w:sz w:val="20"/>
                <w:szCs w:val="20"/>
              </w:rPr>
            </w:pPr>
            <w:r>
              <w:rPr>
                <w:rFonts w:hint="eastAsia" w:ascii="楷体_GB2312" w:eastAsia="楷体_GB2312"/>
                <w:color w:val="000000"/>
                <w:sz w:val="20"/>
                <w:szCs w:val="20"/>
              </w:rPr>
              <w:t>1829</w:t>
            </w:r>
          </w:p>
        </w:tc>
        <w:tc>
          <w:tcPr>
            <w:tcW w:w="850" w:type="dxa"/>
            <w:tcBorders>
              <w:top w:val="nil"/>
              <w:left w:val="nil"/>
              <w:bottom w:val="single" w:color="auto" w:sz="8" w:space="0"/>
              <w:right w:val="single" w:color="auto" w:sz="8" w:space="0"/>
            </w:tcBorders>
            <w:shd w:val="clear" w:color="auto" w:fill="auto"/>
            <w:vAlign w:val="center"/>
          </w:tcPr>
          <w:p>
            <w:pPr>
              <w:jc w:val="center"/>
              <w:rPr>
                <w:rFonts w:ascii="楷体_GB2312" w:hAnsi="宋体" w:eastAsia="楷体_GB2312" w:cs="宋体"/>
                <w:color w:val="000000"/>
                <w:sz w:val="20"/>
                <w:szCs w:val="20"/>
              </w:rPr>
            </w:pPr>
            <w:r>
              <w:rPr>
                <w:rFonts w:hint="eastAsia" w:ascii="楷体_GB2312" w:eastAsia="楷体_GB2312"/>
                <w:color w:val="000000"/>
                <w:sz w:val="20"/>
                <w:szCs w:val="20"/>
              </w:rPr>
              <w:t>3.8%</w:t>
            </w:r>
          </w:p>
        </w:tc>
        <w:tc>
          <w:tcPr>
            <w:tcW w:w="992" w:type="dxa"/>
            <w:tcBorders>
              <w:top w:val="nil"/>
              <w:left w:val="nil"/>
              <w:bottom w:val="single" w:color="auto" w:sz="8" w:space="0"/>
              <w:right w:val="single" w:color="auto" w:sz="8" w:space="0"/>
            </w:tcBorders>
            <w:shd w:val="clear" w:color="auto" w:fill="auto"/>
            <w:vAlign w:val="center"/>
          </w:tcPr>
          <w:p>
            <w:pPr>
              <w:jc w:val="center"/>
              <w:rPr>
                <w:rFonts w:ascii="楷体_GB2312" w:hAnsi="宋体" w:eastAsia="楷体_GB2312" w:cs="宋体"/>
                <w:sz w:val="20"/>
                <w:szCs w:val="20"/>
              </w:rPr>
            </w:pPr>
            <w:r>
              <w:rPr>
                <w:rFonts w:hint="eastAsia" w:ascii="楷体_GB2312" w:eastAsia="楷体_GB2312"/>
                <w:sz w:val="20"/>
                <w:szCs w:val="20"/>
              </w:rPr>
              <w:t>-559</w:t>
            </w:r>
          </w:p>
        </w:tc>
        <w:tc>
          <w:tcPr>
            <w:tcW w:w="1134" w:type="dxa"/>
            <w:tcBorders>
              <w:top w:val="nil"/>
              <w:left w:val="nil"/>
              <w:bottom w:val="single" w:color="auto" w:sz="8" w:space="0"/>
              <w:right w:val="single" w:color="auto" w:sz="8" w:space="0"/>
            </w:tcBorders>
            <w:shd w:val="clear" w:color="auto" w:fill="auto"/>
            <w:vAlign w:val="center"/>
          </w:tcPr>
          <w:p>
            <w:pPr>
              <w:jc w:val="center"/>
              <w:rPr>
                <w:rFonts w:ascii="楷体_GB2312" w:hAnsi="宋体" w:eastAsia="楷体_GB2312" w:cs="宋体"/>
                <w:sz w:val="20"/>
                <w:szCs w:val="20"/>
              </w:rPr>
            </w:pPr>
            <w:r>
              <w:rPr>
                <w:rFonts w:hint="eastAsia" w:ascii="楷体_GB2312" w:eastAsia="楷体_GB2312"/>
                <w:sz w:val="20"/>
                <w:szCs w:val="20"/>
              </w:rPr>
              <w:t>-30.6%</w:t>
            </w:r>
          </w:p>
        </w:tc>
      </w:tr>
      <w:tr>
        <w:tblPrEx>
          <w:tblCellMar>
            <w:top w:w="0" w:type="dxa"/>
            <w:left w:w="108" w:type="dxa"/>
            <w:bottom w:w="0" w:type="dxa"/>
            <w:right w:w="108" w:type="dxa"/>
          </w:tblCellMar>
        </w:tblPrEx>
        <w:trPr>
          <w:trHeight w:val="328" w:hRule="atLeast"/>
        </w:trPr>
        <w:tc>
          <w:tcPr>
            <w:tcW w:w="1711" w:type="dxa"/>
            <w:tcBorders>
              <w:top w:val="nil"/>
              <w:left w:val="single" w:color="auto" w:sz="8" w:space="0"/>
              <w:bottom w:val="single" w:color="auto" w:sz="8" w:space="0"/>
              <w:right w:val="single" w:color="auto" w:sz="8" w:space="0"/>
            </w:tcBorders>
            <w:shd w:val="clear" w:color="000000" w:fill="FFFFFF"/>
            <w:vAlign w:val="center"/>
          </w:tcPr>
          <w:p>
            <w:pPr>
              <w:rPr>
                <w:rFonts w:ascii="楷体_GB2312" w:hAnsi="宋体" w:eastAsia="楷体_GB2312" w:cs="宋体"/>
                <w:b/>
                <w:bCs/>
                <w:color w:val="000000"/>
                <w:sz w:val="20"/>
                <w:szCs w:val="20"/>
              </w:rPr>
            </w:pPr>
            <w:r>
              <w:rPr>
                <w:rFonts w:hint="eastAsia" w:ascii="楷体_GB2312" w:eastAsia="楷体_GB2312"/>
                <w:b/>
                <w:bCs/>
                <w:color w:val="000000"/>
                <w:sz w:val="20"/>
                <w:szCs w:val="20"/>
              </w:rPr>
              <w:t>土地增值税</w:t>
            </w:r>
          </w:p>
        </w:tc>
        <w:tc>
          <w:tcPr>
            <w:tcW w:w="993" w:type="dxa"/>
            <w:tcBorders>
              <w:top w:val="nil"/>
              <w:left w:val="nil"/>
              <w:bottom w:val="single" w:color="auto" w:sz="8" w:space="0"/>
              <w:right w:val="single" w:color="auto" w:sz="8" w:space="0"/>
            </w:tcBorders>
            <w:shd w:val="clear" w:color="auto" w:fill="auto"/>
            <w:vAlign w:val="center"/>
          </w:tcPr>
          <w:p>
            <w:pPr>
              <w:jc w:val="center"/>
              <w:rPr>
                <w:rFonts w:ascii="楷体_GB2312" w:hAnsi="宋体" w:eastAsia="楷体_GB2312" w:cs="宋体"/>
                <w:color w:val="000000"/>
                <w:sz w:val="20"/>
                <w:szCs w:val="20"/>
              </w:rPr>
            </w:pPr>
            <w:r>
              <w:rPr>
                <w:rFonts w:hint="eastAsia" w:ascii="楷体_GB2312" w:eastAsia="楷体_GB2312"/>
                <w:color w:val="000000"/>
                <w:sz w:val="20"/>
                <w:szCs w:val="20"/>
              </w:rPr>
              <w:t>1710</w:t>
            </w:r>
          </w:p>
        </w:tc>
        <w:tc>
          <w:tcPr>
            <w:tcW w:w="850" w:type="dxa"/>
            <w:tcBorders>
              <w:top w:val="nil"/>
              <w:left w:val="nil"/>
              <w:bottom w:val="single" w:color="auto" w:sz="8" w:space="0"/>
              <w:right w:val="single" w:color="auto" w:sz="8" w:space="0"/>
            </w:tcBorders>
            <w:shd w:val="clear" w:color="auto" w:fill="auto"/>
            <w:vAlign w:val="center"/>
          </w:tcPr>
          <w:p>
            <w:pPr>
              <w:jc w:val="center"/>
              <w:rPr>
                <w:rFonts w:ascii="楷体_GB2312" w:hAnsi="宋体" w:eastAsia="楷体_GB2312" w:cs="宋体"/>
                <w:color w:val="000000"/>
                <w:sz w:val="20"/>
                <w:szCs w:val="20"/>
              </w:rPr>
            </w:pPr>
            <w:r>
              <w:rPr>
                <w:rFonts w:hint="eastAsia" w:ascii="楷体_GB2312" w:eastAsia="楷体_GB2312"/>
                <w:color w:val="000000"/>
                <w:sz w:val="20"/>
                <w:szCs w:val="20"/>
              </w:rPr>
              <w:t>3.4%</w:t>
            </w:r>
          </w:p>
        </w:tc>
        <w:tc>
          <w:tcPr>
            <w:tcW w:w="851" w:type="dxa"/>
            <w:tcBorders>
              <w:top w:val="nil"/>
              <w:left w:val="nil"/>
              <w:bottom w:val="single" w:color="auto" w:sz="8" w:space="0"/>
              <w:right w:val="single" w:color="auto" w:sz="8" w:space="0"/>
            </w:tcBorders>
            <w:shd w:val="clear" w:color="auto" w:fill="auto"/>
            <w:vAlign w:val="center"/>
          </w:tcPr>
          <w:p>
            <w:pPr>
              <w:jc w:val="center"/>
              <w:rPr>
                <w:rFonts w:ascii="楷体_GB2312" w:hAnsi="宋体" w:eastAsia="楷体_GB2312" w:cs="宋体"/>
                <w:color w:val="000000"/>
                <w:sz w:val="20"/>
                <w:szCs w:val="20"/>
              </w:rPr>
            </w:pPr>
            <w:r>
              <w:rPr>
                <w:rFonts w:hint="eastAsia" w:ascii="楷体_GB2312" w:eastAsia="楷体_GB2312"/>
                <w:color w:val="000000"/>
                <w:sz w:val="20"/>
                <w:szCs w:val="20"/>
              </w:rPr>
              <w:t>1090</w:t>
            </w:r>
          </w:p>
        </w:tc>
        <w:tc>
          <w:tcPr>
            <w:tcW w:w="850" w:type="dxa"/>
            <w:tcBorders>
              <w:top w:val="nil"/>
              <w:left w:val="nil"/>
              <w:bottom w:val="single" w:color="auto" w:sz="8" w:space="0"/>
              <w:right w:val="single" w:color="auto" w:sz="8" w:space="0"/>
            </w:tcBorders>
            <w:shd w:val="clear" w:color="auto" w:fill="auto"/>
            <w:vAlign w:val="center"/>
          </w:tcPr>
          <w:p>
            <w:pPr>
              <w:jc w:val="center"/>
              <w:rPr>
                <w:rFonts w:ascii="楷体_GB2312" w:hAnsi="宋体" w:eastAsia="楷体_GB2312" w:cs="宋体"/>
                <w:color w:val="000000"/>
                <w:sz w:val="20"/>
                <w:szCs w:val="20"/>
              </w:rPr>
            </w:pPr>
            <w:r>
              <w:rPr>
                <w:rFonts w:hint="eastAsia" w:ascii="楷体_GB2312" w:eastAsia="楷体_GB2312"/>
                <w:color w:val="000000"/>
                <w:sz w:val="20"/>
                <w:szCs w:val="20"/>
              </w:rPr>
              <w:t>2.2%</w:t>
            </w:r>
          </w:p>
        </w:tc>
        <w:tc>
          <w:tcPr>
            <w:tcW w:w="992" w:type="dxa"/>
            <w:tcBorders>
              <w:top w:val="nil"/>
              <w:left w:val="nil"/>
              <w:bottom w:val="single" w:color="auto" w:sz="8" w:space="0"/>
              <w:right w:val="single" w:color="auto" w:sz="8" w:space="0"/>
            </w:tcBorders>
            <w:shd w:val="clear" w:color="auto" w:fill="auto"/>
            <w:vAlign w:val="center"/>
          </w:tcPr>
          <w:p>
            <w:pPr>
              <w:jc w:val="center"/>
              <w:rPr>
                <w:rFonts w:ascii="楷体_GB2312" w:hAnsi="宋体" w:eastAsia="楷体_GB2312" w:cs="宋体"/>
                <w:sz w:val="20"/>
                <w:szCs w:val="20"/>
              </w:rPr>
            </w:pPr>
            <w:r>
              <w:rPr>
                <w:rFonts w:hint="eastAsia" w:ascii="楷体_GB2312" w:eastAsia="楷体_GB2312"/>
                <w:sz w:val="20"/>
                <w:szCs w:val="20"/>
              </w:rPr>
              <w:t>620</w:t>
            </w:r>
          </w:p>
        </w:tc>
        <w:tc>
          <w:tcPr>
            <w:tcW w:w="1134" w:type="dxa"/>
            <w:tcBorders>
              <w:top w:val="nil"/>
              <w:left w:val="nil"/>
              <w:bottom w:val="single" w:color="auto" w:sz="8" w:space="0"/>
              <w:right w:val="single" w:color="auto" w:sz="8" w:space="0"/>
            </w:tcBorders>
            <w:shd w:val="clear" w:color="auto" w:fill="auto"/>
            <w:vAlign w:val="center"/>
          </w:tcPr>
          <w:p>
            <w:pPr>
              <w:jc w:val="center"/>
              <w:rPr>
                <w:rFonts w:ascii="楷体_GB2312" w:hAnsi="宋体" w:eastAsia="楷体_GB2312" w:cs="宋体"/>
                <w:sz w:val="20"/>
                <w:szCs w:val="20"/>
              </w:rPr>
            </w:pPr>
            <w:r>
              <w:rPr>
                <w:rFonts w:hint="eastAsia" w:ascii="楷体_GB2312" w:eastAsia="楷体_GB2312"/>
                <w:sz w:val="20"/>
                <w:szCs w:val="20"/>
              </w:rPr>
              <w:t>56.9%</w:t>
            </w:r>
          </w:p>
        </w:tc>
      </w:tr>
      <w:tr>
        <w:tblPrEx>
          <w:tblCellMar>
            <w:top w:w="0" w:type="dxa"/>
            <w:left w:w="108" w:type="dxa"/>
            <w:bottom w:w="0" w:type="dxa"/>
            <w:right w:w="108" w:type="dxa"/>
          </w:tblCellMar>
        </w:tblPrEx>
        <w:trPr>
          <w:trHeight w:val="300" w:hRule="atLeast"/>
        </w:trPr>
        <w:tc>
          <w:tcPr>
            <w:tcW w:w="1711" w:type="dxa"/>
            <w:tcBorders>
              <w:top w:val="nil"/>
              <w:left w:val="single" w:color="auto" w:sz="8" w:space="0"/>
              <w:bottom w:val="single" w:color="auto" w:sz="8" w:space="0"/>
              <w:right w:val="single" w:color="auto" w:sz="8" w:space="0"/>
            </w:tcBorders>
            <w:shd w:val="clear" w:color="000000" w:fill="FFFFFF"/>
            <w:vAlign w:val="center"/>
          </w:tcPr>
          <w:p>
            <w:pPr>
              <w:rPr>
                <w:rFonts w:ascii="楷体_GB2312" w:hAnsi="宋体" w:eastAsia="楷体_GB2312" w:cs="宋体"/>
                <w:b/>
                <w:bCs/>
                <w:color w:val="000000"/>
                <w:sz w:val="20"/>
                <w:szCs w:val="20"/>
              </w:rPr>
            </w:pPr>
            <w:r>
              <w:rPr>
                <w:rFonts w:hint="eastAsia" w:ascii="楷体_GB2312" w:eastAsia="楷体_GB2312"/>
                <w:b/>
                <w:bCs/>
                <w:color w:val="000000"/>
                <w:sz w:val="20"/>
                <w:szCs w:val="20"/>
              </w:rPr>
              <w:t>车船税</w:t>
            </w:r>
          </w:p>
        </w:tc>
        <w:tc>
          <w:tcPr>
            <w:tcW w:w="993" w:type="dxa"/>
            <w:tcBorders>
              <w:top w:val="nil"/>
              <w:left w:val="nil"/>
              <w:bottom w:val="single" w:color="auto" w:sz="8" w:space="0"/>
              <w:right w:val="single" w:color="auto" w:sz="8" w:space="0"/>
            </w:tcBorders>
            <w:shd w:val="clear" w:color="auto" w:fill="auto"/>
            <w:vAlign w:val="center"/>
          </w:tcPr>
          <w:p>
            <w:pPr>
              <w:jc w:val="center"/>
              <w:rPr>
                <w:rFonts w:ascii="楷体_GB2312" w:hAnsi="宋体" w:eastAsia="楷体_GB2312" w:cs="宋体"/>
                <w:color w:val="000000"/>
                <w:sz w:val="20"/>
                <w:szCs w:val="20"/>
              </w:rPr>
            </w:pPr>
            <w:r>
              <w:rPr>
                <w:rFonts w:hint="eastAsia" w:ascii="楷体_GB2312" w:eastAsia="楷体_GB2312"/>
                <w:color w:val="000000"/>
                <w:sz w:val="20"/>
                <w:szCs w:val="20"/>
              </w:rPr>
              <w:t>2047</w:t>
            </w:r>
          </w:p>
        </w:tc>
        <w:tc>
          <w:tcPr>
            <w:tcW w:w="850" w:type="dxa"/>
            <w:tcBorders>
              <w:top w:val="nil"/>
              <w:left w:val="nil"/>
              <w:bottom w:val="single" w:color="auto" w:sz="8" w:space="0"/>
              <w:right w:val="single" w:color="auto" w:sz="8" w:space="0"/>
            </w:tcBorders>
            <w:shd w:val="clear" w:color="auto" w:fill="auto"/>
            <w:vAlign w:val="center"/>
          </w:tcPr>
          <w:p>
            <w:pPr>
              <w:jc w:val="center"/>
              <w:rPr>
                <w:rFonts w:ascii="楷体_GB2312" w:hAnsi="宋体" w:eastAsia="楷体_GB2312" w:cs="宋体"/>
                <w:color w:val="000000"/>
                <w:sz w:val="20"/>
                <w:szCs w:val="20"/>
              </w:rPr>
            </w:pPr>
            <w:r>
              <w:rPr>
                <w:rFonts w:hint="eastAsia" w:ascii="楷体_GB2312" w:eastAsia="楷体_GB2312"/>
                <w:color w:val="000000"/>
                <w:sz w:val="20"/>
                <w:szCs w:val="20"/>
              </w:rPr>
              <w:t>4.1%</w:t>
            </w:r>
          </w:p>
        </w:tc>
        <w:tc>
          <w:tcPr>
            <w:tcW w:w="851" w:type="dxa"/>
            <w:tcBorders>
              <w:top w:val="nil"/>
              <w:left w:val="nil"/>
              <w:bottom w:val="single" w:color="auto" w:sz="8" w:space="0"/>
              <w:right w:val="single" w:color="auto" w:sz="8" w:space="0"/>
            </w:tcBorders>
            <w:shd w:val="clear" w:color="auto" w:fill="auto"/>
            <w:vAlign w:val="center"/>
          </w:tcPr>
          <w:p>
            <w:pPr>
              <w:jc w:val="center"/>
              <w:rPr>
                <w:rFonts w:ascii="楷体_GB2312" w:hAnsi="宋体" w:eastAsia="楷体_GB2312" w:cs="宋体"/>
                <w:color w:val="000000"/>
                <w:sz w:val="20"/>
                <w:szCs w:val="20"/>
              </w:rPr>
            </w:pPr>
            <w:r>
              <w:rPr>
                <w:rFonts w:hint="eastAsia" w:ascii="楷体_GB2312" w:eastAsia="楷体_GB2312"/>
                <w:color w:val="000000"/>
                <w:sz w:val="20"/>
                <w:szCs w:val="20"/>
              </w:rPr>
              <w:t>1743</w:t>
            </w:r>
          </w:p>
        </w:tc>
        <w:tc>
          <w:tcPr>
            <w:tcW w:w="850" w:type="dxa"/>
            <w:tcBorders>
              <w:top w:val="nil"/>
              <w:left w:val="nil"/>
              <w:bottom w:val="single" w:color="auto" w:sz="8" w:space="0"/>
              <w:right w:val="single" w:color="auto" w:sz="8" w:space="0"/>
            </w:tcBorders>
            <w:shd w:val="clear" w:color="auto" w:fill="auto"/>
            <w:vAlign w:val="center"/>
          </w:tcPr>
          <w:p>
            <w:pPr>
              <w:jc w:val="center"/>
              <w:rPr>
                <w:rFonts w:ascii="楷体_GB2312" w:hAnsi="宋体" w:eastAsia="楷体_GB2312" w:cs="宋体"/>
                <w:color w:val="000000"/>
                <w:sz w:val="20"/>
                <w:szCs w:val="20"/>
              </w:rPr>
            </w:pPr>
            <w:r>
              <w:rPr>
                <w:rFonts w:hint="eastAsia" w:ascii="楷体_GB2312" w:eastAsia="楷体_GB2312"/>
                <w:color w:val="000000"/>
                <w:sz w:val="20"/>
                <w:szCs w:val="20"/>
              </w:rPr>
              <w:t>3.6%</w:t>
            </w:r>
          </w:p>
        </w:tc>
        <w:tc>
          <w:tcPr>
            <w:tcW w:w="992" w:type="dxa"/>
            <w:tcBorders>
              <w:top w:val="nil"/>
              <w:left w:val="nil"/>
              <w:bottom w:val="single" w:color="auto" w:sz="8" w:space="0"/>
              <w:right w:val="single" w:color="auto" w:sz="8" w:space="0"/>
            </w:tcBorders>
            <w:shd w:val="clear" w:color="auto" w:fill="auto"/>
            <w:vAlign w:val="center"/>
          </w:tcPr>
          <w:p>
            <w:pPr>
              <w:jc w:val="center"/>
              <w:rPr>
                <w:rFonts w:ascii="楷体_GB2312" w:hAnsi="宋体" w:eastAsia="楷体_GB2312" w:cs="宋体"/>
                <w:sz w:val="20"/>
                <w:szCs w:val="20"/>
              </w:rPr>
            </w:pPr>
            <w:r>
              <w:rPr>
                <w:rFonts w:hint="eastAsia" w:ascii="楷体_GB2312" w:eastAsia="楷体_GB2312"/>
                <w:sz w:val="20"/>
                <w:szCs w:val="20"/>
              </w:rPr>
              <w:t>304</w:t>
            </w:r>
          </w:p>
        </w:tc>
        <w:tc>
          <w:tcPr>
            <w:tcW w:w="1134" w:type="dxa"/>
            <w:tcBorders>
              <w:top w:val="nil"/>
              <w:left w:val="nil"/>
              <w:bottom w:val="single" w:color="auto" w:sz="8" w:space="0"/>
              <w:right w:val="single" w:color="auto" w:sz="8" w:space="0"/>
            </w:tcBorders>
            <w:shd w:val="clear" w:color="auto" w:fill="auto"/>
            <w:vAlign w:val="center"/>
          </w:tcPr>
          <w:p>
            <w:pPr>
              <w:jc w:val="center"/>
              <w:rPr>
                <w:rFonts w:ascii="楷体_GB2312" w:hAnsi="宋体" w:eastAsia="楷体_GB2312" w:cs="宋体"/>
                <w:sz w:val="20"/>
                <w:szCs w:val="20"/>
              </w:rPr>
            </w:pPr>
            <w:r>
              <w:rPr>
                <w:rFonts w:hint="eastAsia" w:ascii="楷体_GB2312" w:eastAsia="楷体_GB2312"/>
                <w:sz w:val="20"/>
                <w:szCs w:val="20"/>
              </w:rPr>
              <w:t>17.4%</w:t>
            </w:r>
          </w:p>
        </w:tc>
      </w:tr>
      <w:tr>
        <w:tblPrEx>
          <w:tblCellMar>
            <w:top w:w="0" w:type="dxa"/>
            <w:left w:w="108" w:type="dxa"/>
            <w:bottom w:w="0" w:type="dxa"/>
            <w:right w:w="108" w:type="dxa"/>
          </w:tblCellMar>
        </w:tblPrEx>
        <w:trPr>
          <w:trHeight w:val="416" w:hRule="atLeast"/>
        </w:trPr>
        <w:tc>
          <w:tcPr>
            <w:tcW w:w="1711" w:type="dxa"/>
            <w:tcBorders>
              <w:top w:val="nil"/>
              <w:left w:val="single" w:color="auto" w:sz="8" w:space="0"/>
              <w:bottom w:val="single" w:color="auto" w:sz="8" w:space="0"/>
              <w:right w:val="single" w:color="auto" w:sz="8" w:space="0"/>
            </w:tcBorders>
            <w:shd w:val="clear" w:color="000000" w:fill="FFFFFF"/>
            <w:vAlign w:val="center"/>
          </w:tcPr>
          <w:p>
            <w:pPr>
              <w:rPr>
                <w:rFonts w:ascii="楷体_GB2312" w:hAnsi="宋体" w:eastAsia="楷体_GB2312" w:cs="宋体"/>
                <w:b/>
                <w:bCs/>
                <w:color w:val="000000"/>
                <w:sz w:val="20"/>
                <w:szCs w:val="20"/>
              </w:rPr>
            </w:pPr>
            <w:r>
              <w:rPr>
                <w:rFonts w:hint="eastAsia" w:ascii="楷体_GB2312" w:eastAsia="楷体_GB2312"/>
                <w:b/>
                <w:bCs/>
                <w:color w:val="000000"/>
                <w:sz w:val="20"/>
                <w:szCs w:val="20"/>
              </w:rPr>
              <w:t>耕地占用税</w:t>
            </w:r>
          </w:p>
        </w:tc>
        <w:tc>
          <w:tcPr>
            <w:tcW w:w="993" w:type="dxa"/>
            <w:tcBorders>
              <w:top w:val="nil"/>
              <w:left w:val="nil"/>
              <w:bottom w:val="single" w:color="auto" w:sz="8" w:space="0"/>
              <w:right w:val="single" w:color="auto" w:sz="8" w:space="0"/>
            </w:tcBorders>
            <w:shd w:val="clear" w:color="auto" w:fill="auto"/>
            <w:vAlign w:val="center"/>
          </w:tcPr>
          <w:p>
            <w:pPr>
              <w:jc w:val="center"/>
              <w:rPr>
                <w:rFonts w:ascii="楷体_GB2312" w:hAnsi="宋体" w:eastAsia="楷体_GB2312" w:cs="宋体"/>
                <w:color w:val="000000"/>
                <w:sz w:val="20"/>
                <w:szCs w:val="20"/>
              </w:rPr>
            </w:pPr>
            <w:r>
              <w:rPr>
                <w:rFonts w:hint="eastAsia" w:ascii="楷体_GB2312" w:eastAsia="楷体_GB2312"/>
                <w:color w:val="000000"/>
                <w:sz w:val="20"/>
                <w:szCs w:val="20"/>
              </w:rPr>
              <w:t>685</w:t>
            </w:r>
          </w:p>
        </w:tc>
        <w:tc>
          <w:tcPr>
            <w:tcW w:w="850" w:type="dxa"/>
            <w:tcBorders>
              <w:top w:val="nil"/>
              <w:left w:val="nil"/>
              <w:bottom w:val="single" w:color="auto" w:sz="8" w:space="0"/>
              <w:right w:val="single" w:color="auto" w:sz="8" w:space="0"/>
            </w:tcBorders>
            <w:shd w:val="clear" w:color="auto" w:fill="auto"/>
            <w:vAlign w:val="center"/>
          </w:tcPr>
          <w:p>
            <w:pPr>
              <w:jc w:val="center"/>
              <w:rPr>
                <w:rFonts w:ascii="楷体_GB2312" w:hAnsi="宋体" w:eastAsia="楷体_GB2312" w:cs="宋体"/>
                <w:color w:val="000000"/>
                <w:sz w:val="20"/>
                <w:szCs w:val="20"/>
              </w:rPr>
            </w:pPr>
            <w:r>
              <w:rPr>
                <w:rFonts w:hint="eastAsia" w:ascii="楷体_GB2312" w:eastAsia="楷体_GB2312"/>
                <w:color w:val="000000"/>
                <w:sz w:val="20"/>
                <w:szCs w:val="20"/>
              </w:rPr>
              <w:t>1.4%</w:t>
            </w:r>
          </w:p>
        </w:tc>
        <w:tc>
          <w:tcPr>
            <w:tcW w:w="851" w:type="dxa"/>
            <w:tcBorders>
              <w:top w:val="nil"/>
              <w:left w:val="nil"/>
              <w:bottom w:val="single" w:color="auto" w:sz="8" w:space="0"/>
              <w:right w:val="single" w:color="auto" w:sz="8" w:space="0"/>
            </w:tcBorders>
            <w:shd w:val="clear" w:color="auto" w:fill="auto"/>
            <w:vAlign w:val="center"/>
          </w:tcPr>
          <w:p>
            <w:pPr>
              <w:jc w:val="center"/>
              <w:rPr>
                <w:rFonts w:ascii="楷体_GB2312" w:hAnsi="宋体" w:eastAsia="楷体_GB2312" w:cs="宋体"/>
                <w:color w:val="000000"/>
                <w:sz w:val="20"/>
                <w:szCs w:val="20"/>
              </w:rPr>
            </w:pPr>
            <w:r>
              <w:rPr>
                <w:rFonts w:hint="eastAsia" w:ascii="楷体_GB2312" w:eastAsia="楷体_GB2312"/>
                <w:color w:val="000000"/>
                <w:sz w:val="20"/>
                <w:szCs w:val="20"/>
              </w:rPr>
              <w:t>466</w:t>
            </w:r>
          </w:p>
        </w:tc>
        <w:tc>
          <w:tcPr>
            <w:tcW w:w="850" w:type="dxa"/>
            <w:tcBorders>
              <w:top w:val="nil"/>
              <w:left w:val="nil"/>
              <w:bottom w:val="single" w:color="auto" w:sz="8" w:space="0"/>
              <w:right w:val="single" w:color="auto" w:sz="8" w:space="0"/>
            </w:tcBorders>
            <w:shd w:val="clear" w:color="auto" w:fill="auto"/>
            <w:vAlign w:val="center"/>
          </w:tcPr>
          <w:p>
            <w:pPr>
              <w:jc w:val="center"/>
              <w:rPr>
                <w:rFonts w:ascii="楷体_GB2312" w:hAnsi="宋体" w:eastAsia="楷体_GB2312" w:cs="宋体"/>
                <w:color w:val="000000"/>
                <w:sz w:val="20"/>
                <w:szCs w:val="20"/>
              </w:rPr>
            </w:pPr>
            <w:r>
              <w:rPr>
                <w:rFonts w:hint="eastAsia" w:ascii="楷体_GB2312" w:eastAsia="楷体_GB2312"/>
                <w:color w:val="000000"/>
                <w:sz w:val="20"/>
                <w:szCs w:val="20"/>
              </w:rPr>
              <w:t>1.0%</w:t>
            </w:r>
          </w:p>
        </w:tc>
        <w:tc>
          <w:tcPr>
            <w:tcW w:w="992" w:type="dxa"/>
            <w:tcBorders>
              <w:top w:val="nil"/>
              <w:left w:val="nil"/>
              <w:bottom w:val="single" w:color="auto" w:sz="8" w:space="0"/>
              <w:right w:val="single" w:color="auto" w:sz="8" w:space="0"/>
            </w:tcBorders>
            <w:shd w:val="clear" w:color="auto" w:fill="auto"/>
            <w:vAlign w:val="center"/>
          </w:tcPr>
          <w:p>
            <w:pPr>
              <w:jc w:val="center"/>
              <w:rPr>
                <w:rFonts w:ascii="楷体_GB2312" w:hAnsi="宋体" w:eastAsia="楷体_GB2312" w:cs="宋体"/>
                <w:sz w:val="20"/>
                <w:szCs w:val="20"/>
              </w:rPr>
            </w:pPr>
            <w:r>
              <w:rPr>
                <w:rFonts w:hint="eastAsia" w:ascii="楷体_GB2312" w:eastAsia="楷体_GB2312"/>
                <w:sz w:val="20"/>
                <w:szCs w:val="20"/>
              </w:rPr>
              <w:t>219</w:t>
            </w:r>
          </w:p>
        </w:tc>
        <w:tc>
          <w:tcPr>
            <w:tcW w:w="1134" w:type="dxa"/>
            <w:tcBorders>
              <w:top w:val="nil"/>
              <w:left w:val="nil"/>
              <w:bottom w:val="single" w:color="auto" w:sz="8" w:space="0"/>
              <w:right w:val="single" w:color="auto" w:sz="8" w:space="0"/>
            </w:tcBorders>
            <w:shd w:val="clear" w:color="auto" w:fill="auto"/>
            <w:vAlign w:val="center"/>
          </w:tcPr>
          <w:p>
            <w:pPr>
              <w:jc w:val="center"/>
              <w:rPr>
                <w:rFonts w:ascii="楷体_GB2312" w:hAnsi="宋体" w:eastAsia="楷体_GB2312" w:cs="宋体"/>
                <w:sz w:val="20"/>
                <w:szCs w:val="20"/>
              </w:rPr>
            </w:pPr>
            <w:r>
              <w:rPr>
                <w:rFonts w:hint="eastAsia" w:ascii="楷体_GB2312" w:eastAsia="楷体_GB2312"/>
                <w:sz w:val="20"/>
                <w:szCs w:val="20"/>
              </w:rPr>
              <w:t>47.0%</w:t>
            </w:r>
          </w:p>
        </w:tc>
      </w:tr>
      <w:tr>
        <w:tblPrEx>
          <w:tblCellMar>
            <w:top w:w="0" w:type="dxa"/>
            <w:left w:w="108" w:type="dxa"/>
            <w:bottom w:w="0" w:type="dxa"/>
            <w:right w:w="108" w:type="dxa"/>
          </w:tblCellMar>
        </w:tblPrEx>
        <w:trPr>
          <w:trHeight w:val="300" w:hRule="atLeast"/>
        </w:trPr>
        <w:tc>
          <w:tcPr>
            <w:tcW w:w="1711" w:type="dxa"/>
            <w:tcBorders>
              <w:top w:val="nil"/>
              <w:left w:val="single" w:color="auto" w:sz="8" w:space="0"/>
              <w:bottom w:val="single" w:color="auto" w:sz="8" w:space="0"/>
              <w:right w:val="single" w:color="auto" w:sz="8" w:space="0"/>
            </w:tcBorders>
            <w:shd w:val="clear" w:color="000000" w:fill="FFFFFF"/>
            <w:vAlign w:val="center"/>
          </w:tcPr>
          <w:p>
            <w:pPr>
              <w:rPr>
                <w:rFonts w:ascii="楷体_GB2312" w:hAnsi="宋体" w:eastAsia="楷体_GB2312" w:cs="宋体"/>
                <w:b/>
                <w:bCs/>
                <w:color w:val="000000"/>
                <w:sz w:val="20"/>
                <w:szCs w:val="20"/>
              </w:rPr>
            </w:pPr>
            <w:r>
              <w:rPr>
                <w:rFonts w:hint="eastAsia" w:ascii="楷体_GB2312" w:eastAsia="楷体_GB2312"/>
                <w:b/>
                <w:bCs/>
                <w:color w:val="000000"/>
                <w:sz w:val="20"/>
                <w:szCs w:val="20"/>
              </w:rPr>
              <w:t>契税</w:t>
            </w:r>
          </w:p>
        </w:tc>
        <w:tc>
          <w:tcPr>
            <w:tcW w:w="993" w:type="dxa"/>
            <w:tcBorders>
              <w:top w:val="nil"/>
              <w:left w:val="nil"/>
              <w:bottom w:val="single" w:color="auto" w:sz="8" w:space="0"/>
              <w:right w:val="single" w:color="auto" w:sz="8" w:space="0"/>
            </w:tcBorders>
            <w:shd w:val="clear" w:color="auto" w:fill="auto"/>
            <w:vAlign w:val="center"/>
          </w:tcPr>
          <w:p>
            <w:pPr>
              <w:jc w:val="center"/>
              <w:rPr>
                <w:rFonts w:ascii="楷体_GB2312" w:hAnsi="宋体" w:eastAsia="楷体_GB2312" w:cs="宋体"/>
                <w:color w:val="000000"/>
                <w:sz w:val="20"/>
                <w:szCs w:val="20"/>
              </w:rPr>
            </w:pPr>
            <w:r>
              <w:rPr>
                <w:rFonts w:hint="eastAsia" w:ascii="楷体_GB2312" w:eastAsia="楷体_GB2312"/>
                <w:color w:val="000000"/>
                <w:sz w:val="20"/>
                <w:szCs w:val="20"/>
              </w:rPr>
              <w:t>2304</w:t>
            </w:r>
          </w:p>
        </w:tc>
        <w:tc>
          <w:tcPr>
            <w:tcW w:w="850" w:type="dxa"/>
            <w:tcBorders>
              <w:top w:val="nil"/>
              <w:left w:val="nil"/>
              <w:bottom w:val="single" w:color="auto" w:sz="8" w:space="0"/>
              <w:right w:val="single" w:color="auto" w:sz="8" w:space="0"/>
            </w:tcBorders>
            <w:shd w:val="clear" w:color="auto" w:fill="auto"/>
            <w:vAlign w:val="center"/>
          </w:tcPr>
          <w:p>
            <w:pPr>
              <w:jc w:val="center"/>
              <w:rPr>
                <w:rFonts w:ascii="楷体_GB2312" w:hAnsi="宋体" w:eastAsia="楷体_GB2312" w:cs="宋体"/>
                <w:color w:val="000000"/>
                <w:sz w:val="20"/>
                <w:szCs w:val="20"/>
              </w:rPr>
            </w:pPr>
            <w:r>
              <w:rPr>
                <w:rFonts w:hint="eastAsia" w:ascii="楷体_GB2312" w:eastAsia="楷体_GB2312"/>
                <w:color w:val="000000"/>
                <w:sz w:val="20"/>
                <w:szCs w:val="20"/>
              </w:rPr>
              <w:t>4.6%</w:t>
            </w:r>
          </w:p>
        </w:tc>
        <w:tc>
          <w:tcPr>
            <w:tcW w:w="851" w:type="dxa"/>
            <w:tcBorders>
              <w:top w:val="nil"/>
              <w:left w:val="nil"/>
              <w:bottom w:val="single" w:color="auto" w:sz="8" w:space="0"/>
              <w:right w:val="single" w:color="auto" w:sz="8" w:space="0"/>
            </w:tcBorders>
            <w:shd w:val="clear" w:color="auto" w:fill="auto"/>
            <w:vAlign w:val="center"/>
          </w:tcPr>
          <w:p>
            <w:pPr>
              <w:jc w:val="center"/>
              <w:rPr>
                <w:rFonts w:ascii="楷体_GB2312" w:hAnsi="宋体" w:eastAsia="楷体_GB2312" w:cs="宋体"/>
                <w:color w:val="000000"/>
                <w:sz w:val="20"/>
                <w:szCs w:val="20"/>
              </w:rPr>
            </w:pPr>
            <w:r>
              <w:rPr>
                <w:rFonts w:hint="eastAsia" w:ascii="楷体_GB2312" w:eastAsia="楷体_GB2312"/>
                <w:color w:val="000000"/>
                <w:sz w:val="20"/>
                <w:szCs w:val="20"/>
              </w:rPr>
              <w:t>3465</w:t>
            </w:r>
          </w:p>
        </w:tc>
        <w:tc>
          <w:tcPr>
            <w:tcW w:w="850" w:type="dxa"/>
            <w:tcBorders>
              <w:top w:val="nil"/>
              <w:left w:val="nil"/>
              <w:bottom w:val="single" w:color="auto" w:sz="8" w:space="0"/>
              <w:right w:val="single" w:color="auto" w:sz="8" w:space="0"/>
            </w:tcBorders>
            <w:shd w:val="clear" w:color="auto" w:fill="auto"/>
            <w:vAlign w:val="center"/>
          </w:tcPr>
          <w:p>
            <w:pPr>
              <w:jc w:val="center"/>
              <w:rPr>
                <w:rFonts w:ascii="楷体_GB2312" w:hAnsi="宋体" w:eastAsia="楷体_GB2312" w:cs="宋体"/>
                <w:color w:val="000000"/>
                <w:sz w:val="20"/>
                <w:szCs w:val="20"/>
              </w:rPr>
            </w:pPr>
            <w:r>
              <w:rPr>
                <w:rFonts w:hint="eastAsia" w:ascii="楷体_GB2312" w:eastAsia="楷体_GB2312"/>
                <w:color w:val="000000"/>
                <w:sz w:val="20"/>
                <w:szCs w:val="20"/>
              </w:rPr>
              <w:t>7.1%</w:t>
            </w:r>
          </w:p>
        </w:tc>
        <w:tc>
          <w:tcPr>
            <w:tcW w:w="992" w:type="dxa"/>
            <w:tcBorders>
              <w:top w:val="nil"/>
              <w:left w:val="nil"/>
              <w:bottom w:val="single" w:color="auto" w:sz="8" w:space="0"/>
              <w:right w:val="single" w:color="auto" w:sz="8" w:space="0"/>
            </w:tcBorders>
            <w:shd w:val="clear" w:color="auto" w:fill="auto"/>
            <w:vAlign w:val="center"/>
          </w:tcPr>
          <w:p>
            <w:pPr>
              <w:jc w:val="center"/>
              <w:rPr>
                <w:rFonts w:ascii="楷体_GB2312" w:hAnsi="宋体" w:eastAsia="楷体_GB2312" w:cs="宋体"/>
                <w:sz w:val="20"/>
                <w:szCs w:val="20"/>
              </w:rPr>
            </w:pPr>
            <w:r>
              <w:rPr>
                <w:rFonts w:hint="eastAsia" w:ascii="楷体_GB2312" w:eastAsia="楷体_GB2312"/>
                <w:sz w:val="20"/>
                <w:szCs w:val="20"/>
              </w:rPr>
              <w:t>-1161</w:t>
            </w:r>
          </w:p>
        </w:tc>
        <w:tc>
          <w:tcPr>
            <w:tcW w:w="1134" w:type="dxa"/>
            <w:tcBorders>
              <w:top w:val="nil"/>
              <w:left w:val="nil"/>
              <w:bottom w:val="single" w:color="auto" w:sz="8" w:space="0"/>
              <w:right w:val="single" w:color="auto" w:sz="8" w:space="0"/>
            </w:tcBorders>
            <w:shd w:val="clear" w:color="auto" w:fill="auto"/>
            <w:vAlign w:val="center"/>
          </w:tcPr>
          <w:p>
            <w:pPr>
              <w:jc w:val="center"/>
              <w:rPr>
                <w:rFonts w:ascii="楷体_GB2312" w:hAnsi="宋体" w:eastAsia="楷体_GB2312" w:cs="宋体"/>
                <w:sz w:val="20"/>
                <w:szCs w:val="20"/>
              </w:rPr>
            </w:pPr>
            <w:r>
              <w:rPr>
                <w:rFonts w:hint="eastAsia" w:ascii="楷体_GB2312" w:eastAsia="楷体_GB2312"/>
                <w:sz w:val="20"/>
                <w:szCs w:val="20"/>
              </w:rPr>
              <w:t>-33.5%</w:t>
            </w:r>
          </w:p>
        </w:tc>
      </w:tr>
      <w:tr>
        <w:tblPrEx>
          <w:tblCellMar>
            <w:top w:w="0" w:type="dxa"/>
            <w:left w:w="108" w:type="dxa"/>
            <w:bottom w:w="0" w:type="dxa"/>
            <w:right w:w="108" w:type="dxa"/>
          </w:tblCellMar>
        </w:tblPrEx>
        <w:trPr>
          <w:trHeight w:val="416" w:hRule="atLeast"/>
        </w:trPr>
        <w:tc>
          <w:tcPr>
            <w:tcW w:w="1711" w:type="dxa"/>
            <w:tcBorders>
              <w:top w:val="nil"/>
              <w:left w:val="single" w:color="auto" w:sz="8" w:space="0"/>
              <w:bottom w:val="single" w:color="auto" w:sz="8" w:space="0"/>
              <w:right w:val="single" w:color="auto" w:sz="8" w:space="0"/>
            </w:tcBorders>
            <w:shd w:val="clear" w:color="auto" w:fill="auto"/>
            <w:vAlign w:val="center"/>
          </w:tcPr>
          <w:p>
            <w:pPr>
              <w:rPr>
                <w:rFonts w:ascii="楷体_GB2312" w:hAnsi="宋体" w:eastAsia="楷体_GB2312" w:cs="宋体"/>
                <w:b/>
                <w:bCs/>
                <w:color w:val="000000"/>
                <w:sz w:val="20"/>
                <w:szCs w:val="20"/>
              </w:rPr>
            </w:pPr>
            <w:r>
              <w:rPr>
                <w:rFonts w:hint="eastAsia" w:ascii="楷体_GB2312" w:eastAsia="楷体_GB2312"/>
                <w:b/>
                <w:bCs/>
                <w:color w:val="000000"/>
                <w:sz w:val="20"/>
                <w:szCs w:val="20"/>
              </w:rPr>
              <w:t>环境保护税</w:t>
            </w:r>
          </w:p>
        </w:tc>
        <w:tc>
          <w:tcPr>
            <w:tcW w:w="993" w:type="dxa"/>
            <w:tcBorders>
              <w:top w:val="nil"/>
              <w:left w:val="nil"/>
              <w:bottom w:val="single" w:color="auto" w:sz="8" w:space="0"/>
              <w:right w:val="single" w:color="auto" w:sz="8" w:space="0"/>
            </w:tcBorders>
            <w:shd w:val="clear" w:color="auto" w:fill="auto"/>
            <w:vAlign w:val="center"/>
          </w:tcPr>
          <w:p>
            <w:pPr>
              <w:jc w:val="center"/>
              <w:rPr>
                <w:rFonts w:ascii="楷体_GB2312" w:hAnsi="宋体" w:eastAsia="楷体_GB2312" w:cs="宋体"/>
                <w:color w:val="000000"/>
                <w:sz w:val="20"/>
                <w:szCs w:val="20"/>
              </w:rPr>
            </w:pPr>
            <w:r>
              <w:rPr>
                <w:rFonts w:hint="eastAsia" w:ascii="楷体_GB2312" w:eastAsia="楷体_GB2312"/>
                <w:color w:val="000000"/>
                <w:sz w:val="20"/>
                <w:szCs w:val="20"/>
              </w:rPr>
              <w:t>85</w:t>
            </w:r>
          </w:p>
        </w:tc>
        <w:tc>
          <w:tcPr>
            <w:tcW w:w="850" w:type="dxa"/>
            <w:tcBorders>
              <w:top w:val="nil"/>
              <w:left w:val="nil"/>
              <w:bottom w:val="single" w:color="auto" w:sz="8" w:space="0"/>
              <w:right w:val="single" w:color="auto" w:sz="8" w:space="0"/>
            </w:tcBorders>
            <w:shd w:val="clear" w:color="auto" w:fill="auto"/>
            <w:vAlign w:val="center"/>
          </w:tcPr>
          <w:p>
            <w:pPr>
              <w:jc w:val="center"/>
              <w:rPr>
                <w:rFonts w:ascii="楷体_GB2312" w:hAnsi="宋体" w:eastAsia="楷体_GB2312" w:cs="宋体"/>
                <w:color w:val="000000"/>
                <w:sz w:val="20"/>
                <w:szCs w:val="20"/>
              </w:rPr>
            </w:pPr>
            <w:r>
              <w:rPr>
                <w:rFonts w:hint="eastAsia" w:ascii="楷体_GB2312" w:eastAsia="楷体_GB2312"/>
                <w:color w:val="000000"/>
                <w:sz w:val="20"/>
                <w:szCs w:val="20"/>
              </w:rPr>
              <w:t>0.2%</w:t>
            </w:r>
          </w:p>
        </w:tc>
        <w:tc>
          <w:tcPr>
            <w:tcW w:w="851" w:type="dxa"/>
            <w:tcBorders>
              <w:top w:val="nil"/>
              <w:left w:val="nil"/>
              <w:bottom w:val="single" w:color="auto" w:sz="8" w:space="0"/>
              <w:right w:val="single" w:color="auto" w:sz="8" w:space="0"/>
            </w:tcBorders>
            <w:shd w:val="clear" w:color="auto" w:fill="auto"/>
            <w:vAlign w:val="center"/>
          </w:tcPr>
          <w:p>
            <w:pPr>
              <w:jc w:val="center"/>
              <w:rPr>
                <w:rFonts w:ascii="楷体_GB2312" w:hAnsi="宋体" w:eastAsia="楷体_GB2312" w:cs="宋体"/>
                <w:color w:val="000000"/>
                <w:sz w:val="20"/>
                <w:szCs w:val="20"/>
              </w:rPr>
            </w:pPr>
            <w:r>
              <w:rPr>
                <w:rFonts w:hint="eastAsia" w:ascii="楷体_GB2312" w:eastAsia="楷体_GB2312"/>
                <w:color w:val="000000"/>
                <w:sz w:val="20"/>
                <w:szCs w:val="20"/>
              </w:rPr>
              <w:t>228</w:t>
            </w:r>
          </w:p>
        </w:tc>
        <w:tc>
          <w:tcPr>
            <w:tcW w:w="850" w:type="dxa"/>
            <w:tcBorders>
              <w:top w:val="nil"/>
              <w:left w:val="nil"/>
              <w:bottom w:val="single" w:color="auto" w:sz="8" w:space="0"/>
              <w:right w:val="single" w:color="auto" w:sz="8" w:space="0"/>
            </w:tcBorders>
            <w:shd w:val="clear" w:color="auto" w:fill="auto"/>
            <w:vAlign w:val="center"/>
          </w:tcPr>
          <w:p>
            <w:pPr>
              <w:jc w:val="center"/>
              <w:rPr>
                <w:rFonts w:ascii="楷体_GB2312" w:hAnsi="宋体" w:eastAsia="楷体_GB2312" w:cs="宋体"/>
                <w:color w:val="000000"/>
                <w:sz w:val="20"/>
                <w:szCs w:val="20"/>
              </w:rPr>
            </w:pPr>
            <w:r>
              <w:rPr>
                <w:rFonts w:hint="eastAsia" w:ascii="楷体_GB2312" w:eastAsia="楷体_GB2312"/>
                <w:color w:val="000000"/>
                <w:sz w:val="20"/>
                <w:szCs w:val="20"/>
              </w:rPr>
              <w:t>0.5%</w:t>
            </w:r>
          </w:p>
        </w:tc>
        <w:tc>
          <w:tcPr>
            <w:tcW w:w="992" w:type="dxa"/>
            <w:tcBorders>
              <w:top w:val="nil"/>
              <w:left w:val="nil"/>
              <w:bottom w:val="single" w:color="auto" w:sz="8" w:space="0"/>
              <w:right w:val="single" w:color="auto" w:sz="8" w:space="0"/>
            </w:tcBorders>
            <w:shd w:val="clear" w:color="auto" w:fill="auto"/>
            <w:vAlign w:val="center"/>
          </w:tcPr>
          <w:p>
            <w:pPr>
              <w:jc w:val="center"/>
              <w:rPr>
                <w:rFonts w:ascii="楷体_GB2312" w:hAnsi="宋体" w:eastAsia="楷体_GB2312" w:cs="宋体"/>
                <w:sz w:val="20"/>
                <w:szCs w:val="20"/>
              </w:rPr>
            </w:pPr>
            <w:r>
              <w:rPr>
                <w:rFonts w:hint="eastAsia" w:ascii="楷体_GB2312" w:eastAsia="楷体_GB2312"/>
                <w:sz w:val="20"/>
                <w:szCs w:val="20"/>
              </w:rPr>
              <w:t>-143</w:t>
            </w:r>
          </w:p>
        </w:tc>
        <w:tc>
          <w:tcPr>
            <w:tcW w:w="1134" w:type="dxa"/>
            <w:tcBorders>
              <w:top w:val="nil"/>
              <w:left w:val="nil"/>
              <w:bottom w:val="single" w:color="auto" w:sz="8" w:space="0"/>
              <w:right w:val="single" w:color="auto" w:sz="8" w:space="0"/>
            </w:tcBorders>
            <w:shd w:val="clear" w:color="auto" w:fill="auto"/>
            <w:vAlign w:val="center"/>
          </w:tcPr>
          <w:p>
            <w:pPr>
              <w:jc w:val="center"/>
              <w:rPr>
                <w:rFonts w:ascii="楷体_GB2312" w:hAnsi="宋体" w:eastAsia="楷体_GB2312" w:cs="宋体"/>
                <w:sz w:val="20"/>
                <w:szCs w:val="20"/>
              </w:rPr>
            </w:pPr>
            <w:r>
              <w:rPr>
                <w:rFonts w:hint="eastAsia" w:ascii="楷体_GB2312" w:eastAsia="楷体_GB2312"/>
                <w:sz w:val="20"/>
                <w:szCs w:val="20"/>
              </w:rPr>
              <w:t>-62.7%</w:t>
            </w:r>
          </w:p>
        </w:tc>
      </w:tr>
      <w:tr>
        <w:tblPrEx>
          <w:tblCellMar>
            <w:top w:w="0" w:type="dxa"/>
            <w:left w:w="108" w:type="dxa"/>
            <w:bottom w:w="0" w:type="dxa"/>
            <w:right w:w="108" w:type="dxa"/>
          </w:tblCellMar>
        </w:tblPrEx>
        <w:trPr>
          <w:trHeight w:val="338" w:hRule="atLeast"/>
        </w:trPr>
        <w:tc>
          <w:tcPr>
            <w:tcW w:w="1711" w:type="dxa"/>
            <w:tcBorders>
              <w:top w:val="nil"/>
              <w:left w:val="single" w:color="auto" w:sz="8" w:space="0"/>
              <w:bottom w:val="single" w:color="auto" w:sz="8" w:space="0"/>
              <w:right w:val="single" w:color="auto" w:sz="8" w:space="0"/>
            </w:tcBorders>
            <w:shd w:val="clear" w:color="auto" w:fill="auto"/>
            <w:vAlign w:val="center"/>
          </w:tcPr>
          <w:p>
            <w:pPr>
              <w:rPr>
                <w:rFonts w:ascii="楷体_GB2312" w:hAnsi="宋体" w:eastAsia="楷体_GB2312" w:cs="宋体"/>
                <w:b/>
                <w:bCs/>
                <w:color w:val="000000"/>
                <w:sz w:val="20"/>
                <w:szCs w:val="20"/>
              </w:rPr>
            </w:pPr>
            <w:r>
              <w:rPr>
                <w:rFonts w:hint="eastAsia" w:ascii="楷体_GB2312" w:eastAsia="楷体_GB2312"/>
                <w:b/>
                <w:bCs/>
                <w:color w:val="000000"/>
                <w:sz w:val="20"/>
                <w:szCs w:val="20"/>
              </w:rPr>
              <w:t>其他税收收入</w:t>
            </w:r>
          </w:p>
        </w:tc>
        <w:tc>
          <w:tcPr>
            <w:tcW w:w="993" w:type="dxa"/>
            <w:tcBorders>
              <w:top w:val="nil"/>
              <w:left w:val="nil"/>
              <w:bottom w:val="single" w:color="auto" w:sz="8" w:space="0"/>
              <w:right w:val="single" w:color="auto" w:sz="8" w:space="0"/>
            </w:tcBorders>
            <w:shd w:val="clear" w:color="auto" w:fill="auto"/>
            <w:vAlign w:val="center"/>
          </w:tcPr>
          <w:p>
            <w:pPr>
              <w:jc w:val="center"/>
              <w:rPr>
                <w:rFonts w:ascii="楷体_GB2312" w:hAnsi="宋体" w:eastAsia="楷体_GB2312" w:cs="宋体"/>
                <w:color w:val="000000"/>
                <w:sz w:val="20"/>
                <w:szCs w:val="20"/>
              </w:rPr>
            </w:pPr>
            <w:r>
              <w:rPr>
                <w:rFonts w:hint="eastAsia" w:ascii="楷体_GB2312" w:eastAsia="楷体_GB2312"/>
                <w:color w:val="000000"/>
                <w:sz w:val="20"/>
                <w:szCs w:val="20"/>
              </w:rPr>
              <w:t>32</w:t>
            </w:r>
          </w:p>
        </w:tc>
        <w:tc>
          <w:tcPr>
            <w:tcW w:w="850" w:type="dxa"/>
            <w:tcBorders>
              <w:top w:val="nil"/>
              <w:left w:val="nil"/>
              <w:bottom w:val="single" w:color="auto" w:sz="8" w:space="0"/>
              <w:right w:val="single" w:color="auto" w:sz="8" w:space="0"/>
            </w:tcBorders>
            <w:shd w:val="clear" w:color="auto" w:fill="auto"/>
            <w:vAlign w:val="center"/>
          </w:tcPr>
          <w:p>
            <w:pPr>
              <w:jc w:val="center"/>
              <w:rPr>
                <w:rFonts w:ascii="楷体_GB2312" w:hAnsi="宋体" w:eastAsia="楷体_GB2312" w:cs="宋体"/>
                <w:color w:val="000000"/>
                <w:sz w:val="20"/>
                <w:szCs w:val="20"/>
              </w:rPr>
            </w:pPr>
            <w:r>
              <w:rPr>
                <w:rFonts w:hint="eastAsia" w:ascii="楷体_GB2312" w:eastAsia="楷体_GB2312"/>
                <w:color w:val="000000"/>
                <w:sz w:val="20"/>
                <w:szCs w:val="20"/>
              </w:rPr>
              <w:t>0.1%</w:t>
            </w:r>
          </w:p>
        </w:tc>
        <w:tc>
          <w:tcPr>
            <w:tcW w:w="851" w:type="dxa"/>
            <w:tcBorders>
              <w:top w:val="nil"/>
              <w:left w:val="nil"/>
              <w:bottom w:val="single" w:color="auto" w:sz="8" w:space="0"/>
              <w:right w:val="single" w:color="auto" w:sz="8" w:space="0"/>
            </w:tcBorders>
            <w:shd w:val="clear" w:color="auto" w:fill="auto"/>
            <w:vAlign w:val="center"/>
          </w:tcPr>
          <w:p>
            <w:pPr>
              <w:jc w:val="center"/>
              <w:rPr>
                <w:rFonts w:ascii="楷体_GB2312" w:hAnsi="宋体" w:eastAsia="楷体_GB2312" w:cs="宋体"/>
                <w:color w:val="000000"/>
                <w:sz w:val="20"/>
                <w:szCs w:val="20"/>
              </w:rPr>
            </w:pPr>
            <w:r>
              <w:rPr>
                <w:rFonts w:hint="eastAsia" w:ascii="楷体_GB2312" w:eastAsia="楷体_GB2312"/>
                <w:color w:val="000000"/>
                <w:sz w:val="20"/>
                <w:szCs w:val="20"/>
              </w:rPr>
              <w:t>264</w:t>
            </w:r>
          </w:p>
        </w:tc>
        <w:tc>
          <w:tcPr>
            <w:tcW w:w="850" w:type="dxa"/>
            <w:tcBorders>
              <w:top w:val="nil"/>
              <w:left w:val="nil"/>
              <w:bottom w:val="single" w:color="auto" w:sz="8" w:space="0"/>
              <w:right w:val="single" w:color="auto" w:sz="8" w:space="0"/>
            </w:tcBorders>
            <w:shd w:val="clear" w:color="auto" w:fill="auto"/>
            <w:vAlign w:val="center"/>
          </w:tcPr>
          <w:p>
            <w:pPr>
              <w:jc w:val="center"/>
              <w:rPr>
                <w:rFonts w:ascii="楷体_GB2312" w:hAnsi="宋体" w:eastAsia="楷体_GB2312" w:cs="宋体"/>
                <w:color w:val="000000"/>
                <w:sz w:val="20"/>
                <w:szCs w:val="20"/>
              </w:rPr>
            </w:pPr>
            <w:r>
              <w:rPr>
                <w:rFonts w:hint="eastAsia" w:ascii="楷体_GB2312" w:eastAsia="楷体_GB2312"/>
                <w:color w:val="000000"/>
                <w:sz w:val="20"/>
                <w:szCs w:val="20"/>
              </w:rPr>
              <w:t>0.5%</w:t>
            </w:r>
          </w:p>
        </w:tc>
        <w:tc>
          <w:tcPr>
            <w:tcW w:w="992" w:type="dxa"/>
            <w:tcBorders>
              <w:top w:val="nil"/>
              <w:left w:val="nil"/>
              <w:bottom w:val="single" w:color="auto" w:sz="8" w:space="0"/>
              <w:right w:val="single" w:color="auto" w:sz="8" w:space="0"/>
            </w:tcBorders>
            <w:shd w:val="clear" w:color="auto" w:fill="auto"/>
            <w:vAlign w:val="center"/>
          </w:tcPr>
          <w:p>
            <w:pPr>
              <w:jc w:val="center"/>
              <w:rPr>
                <w:rFonts w:ascii="楷体_GB2312" w:hAnsi="宋体" w:eastAsia="楷体_GB2312" w:cs="宋体"/>
                <w:sz w:val="20"/>
                <w:szCs w:val="20"/>
              </w:rPr>
            </w:pPr>
            <w:r>
              <w:rPr>
                <w:rFonts w:hint="eastAsia" w:ascii="楷体_GB2312" w:eastAsia="楷体_GB2312"/>
                <w:sz w:val="20"/>
                <w:szCs w:val="20"/>
              </w:rPr>
              <w:t>-232</w:t>
            </w:r>
          </w:p>
        </w:tc>
        <w:tc>
          <w:tcPr>
            <w:tcW w:w="1134" w:type="dxa"/>
            <w:tcBorders>
              <w:top w:val="nil"/>
              <w:left w:val="nil"/>
              <w:bottom w:val="single" w:color="auto" w:sz="8" w:space="0"/>
              <w:right w:val="single" w:color="auto" w:sz="8" w:space="0"/>
            </w:tcBorders>
            <w:shd w:val="clear" w:color="auto" w:fill="auto"/>
            <w:vAlign w:val="center"/>
          </w:tcPr>
          <w:p>
            <w:pPr>
              <w:jc w:val="center"/>
              <w:rPr>
                <w:rFonts w:ascii="楷体_GB2312" w:hAnsi="宋体" w:eastAsia="楷体_GB2312" w:cs="宋体"/>
                <w:sz w:val="20"/>
                <w:szCs w:val="20"/>
              </w:rPr>
            </w:pPr>
            <w:r>
              <w:rPr>
                <w:rFonts w:hint="eastAsia" w:ascii="楷体_GB2312" w:eastAsia="楷体_GB2312"/>
                <w:sz w:val="20"/>
                <w:szCs w:val="20"/>
              </w:rPr>
              <w:t>-87.9%</w:t>
            </w:r>
          </w:p>
        </w:tc>
      </w:tr>
      <w:tr>
        <w:tblPrEx>
          <w:tblCellMar>
            <w:top w:w="0" w:type="dxa"/>
            <w:left w:w="108" w:type="dxa"/>
            <w:bottom w:w="0" w:type="dxa"/>
            <w:right w:w="108" w:type="dxa"/>
          </w:tblCellMar>
        </w:tblPrEx>
        <w:trPr>
          <w:trHeight w:val="300" w:hRule="atLeast"/>
        </w:trPr>
        <w:tc>
          <w:tcPr>
            <w:tcW w:w="1711" w:type="dxa"/>
            <w:tcBorders>
              <w:top w:val="nil"/>
              <w:left w:val="single" w:color="auto" w:sz="8" w:space="0"/>
              <w:bottom w:val="single" w:color="auto" w:sz="8" w:space="0"/>
              <w:right w:val="single" w:color="auto" w:sz="8" w:space="0"/>
            </w:tcBorders>
            <w:shd w:val="clear" w:color="auto" w:fill="auto"/>
            <w:vAlign w:val="center"/>
          </w:tcPr>
          <w:p>
            <w:pPr>
              <w:rPr>
                <w:rFonts w:ascii="楷体_GB2312" w:hAnsi="宋体" w:eastAsia="楷体_GB2312" w:cs="宋体"/>
                <w:b/>
                <w:bCs/>
                <w:color w:val="000000"/>
                <w:sz w:val="20"/>
                <w:szCs w:val="20"/>
              </w:rPr>
            </w:pPr>
            <w:r>
              <w:rPr>
                <w:rFonts w:hint="eastAsia" w:ascii="楷体_GB2312" w:eastAsia="楷体_GB2312"/>
                <w:b/>
                <w:bCs/>
                <w:color w:val="000000"/>
                <w:sz w:val="20"/>
                <w:szCs w:val="20"/>
              </w:rPr>
              <w:t>非税收入</w:t>
            </w:r>
          </w:p>
        </w:tc>
        <w:tc>
          <w:tcPr>
            <w:tcW w:w="993" w:type="dxa"/>
            <w:tcBorders>
              <w:top w:val="nil"/>
              <w:left w:val="nil"/>
              <w:bottom w:val="single" w:color="auto" w:sz="8" w:space="0"/>
              <w:right w:val="single" w:color="auto" w:sz="8" w:space="0"/>
            </w:tcBorders>
            <w:shd w:val="clear" w:color="auto" w:fill="auto"/>
            <w:vAlign w:val="center"/>
          </w:tcPr>
          <w:p>
            <w:pPr>
              <w:jc w:val="center"/>
              <w:rPr>
                <w:rFonts w:ascii="楷体_GB2312" w:hAnsi="宋体" w:eastAsia="楷体_GB2312" w:cs="宋体"/>
                <w:color w:val="000000"/>
                <w:sz w:val="20"/>
                <w:szCs w:val="20"/>
              </w:rPr>
            </w:pPr>
            <w:r>
              <w:rPr>
                <w:rFonts w:hint="eastAsia" w:ascii="楷体_GB2312" w:eastAsia="楷体_GB2312"/>
                <w:color w:val="000000"/>
                <w:sz w:val="20"/>
                <w:szCs w:val="20"/>
              </w:rPr>
              <w:t>19647</w:t>
            </w:r>
          </w:p>
        </w:tc>
        <w:tc>
          <w:tcPr>
            <w:tcW w:w="850" w:type="dxa"/>
            <w:tcBorders>
              <w:top w:val="nil"/>
              <w:left w:val="nil"/>
              <w:bottom w:val="single" w:color="auto" w:sz="8" w:space="0"/>
              <w:right w:val="single" w:color="auto" w:sz="8" w:space="0"/>
            </w:tcBorders>
            <w:shd w:val="clear" w:color="auto" w:fill="auto"/>
            <w:vAlign w:val="center"/>
          </w:tcPr>
          <w:p>
            <w:pPr>
              <w:jc w:val="center"/>
              <w:rPr>
                <w:rFonts w:ascii="楷体_GB2312" w:hAnsi="宋体" w:eastAsia="楷体_GB2312" w:cs="宋体"/>
                <w:color w:val="000000"/>
                <w:sz w:val="20"/>
                <w:szCs w:val="20"/>
              </w:rPr>
            </w:pPr>
            <w:r>
              <w:rPr>
                <w:rFonts w:hint="eastAsia" w:ascii="楷体_GB2312" w:eastAsia="楷体_GB2312"/>
                <w:color w:val="000000"/>
                <w:sz w:val="20"/>
                <w:szCs w:val="20"/>
              </w:rPr>
              <w:t>39.2%</w:t>
            </w:r>
          </w:p>
        </w:tc>
        <w:tc>
          <w:tcPr>
            <w:tcW w:w="851" w:type="dxa"/>
            <w:tcBorders>
              <w:top w:val="nil"/>
              <w:left w:val="nil"/>
              <w:bottom w:val="single" w:color="auto" w:sz="8" w:space="0"/>
              <w:right w:val="single" w:color="auto" w:sz="8" w:space="0"/>
            </w:tcBorders>
            <w:shd w:val="clear" w:color="auto" w:fill="auto"/>
            <w:vAlign w:val="center"/>
          </w:tcPr>
          <w:p>
            <w:pPr>
              <w:jc w:val="center"/>
              <w:rPr>
                <w:rFonts w:ascii="楷体_GB2312" w:hAnsi="宋体" w:eastAsia="楷体_GB2312" w:cs="宋体"/>
                <w:color w:val="000000"/>
                <w:sz w:val="20"/>
                <w:szCs w:val="20"/>
              </w:rPr>
            </w:pPr>
            <w:r>
              <w:rPr>
                <w:rFonts w:hint="eastAsia" w:ascii="楷体_GB2312" w:eastAsia="楷体_GB2312"/>
                <w:color w:val="000000"/>
                <w:sz w:val="20"/>
                <w:szCs w:val="20"/>
              </w:rPr>
              <w:t>18638</w:t>
            </w:r>
          </w:p>
        </w:tc>
        <w:tc>
          <w:tcPr>
            <w:tcW w:w="850" w:type="dxa"/>
            <w:tcBorders>
              <w:top w:val="nil"/>
              <w:left w:val="nil"/>
              <w:bottom w:val="single" w:color="auto" w:sz="8" w:space="0"/>
              <w:right w:val="single" w:color="auto" w:sz="8" w:space="0"/>
            </w:tcBorders>
            <w:shd w:val="clear" w:color="auto" w:fill="auto"/>
            <w:vAlign w:val="center"/>
          </w:tcPr>
          <w:p>
            <w:pPr>
              <w:jc w:val="center"/>
              <w:rPr>
                <w:rFonts w:ascii="楷体_GB2312" w:hAnsi="宋体" w:eastAsia="楷体_GB2312" w:cs="宋体"/>
                <w:color w:val="000000"/>
                <w:sz w:val="20"/>
                <w:szCs w:val="20"/>
              </w:rPr>
            </w:pPr>
            <w:r>
              <w:rPr>
                <w:rFonts w:hint="eastAsia" w:ascii="楷体_GB2312" w:eastAsia="楷体_GB2312"/>
                <w:color w:val="000000"/>
                <w:sz w:val="20"/>
                <w:szCs w:val="20"/>
              </w:rPr>
              <w:t>38.4%</w:t>
            </w:r>
          </w:p>
        </w:tc>
        <w:tc>
          <w:tcPr>
            <w:tcW w:w="992" w:type="dxa"/>
            <w:tcBorders>
              <w:top w:val="nil"/>
              <w:left w:val="nil"/>
              <w:bottom w:val="single" w:color="auto" w:sz="8" w:space="0"/>
              <w:right w:val="single" w:color="auto" w:sz="8" w:space="0"/>
            </w:tcBorders>
            <w:shd w:val="clear" w:color="auto" w:fill="auto"/>
            <w:vAlign w:val="center"/>
          </w:tcPr>
          <w:p>
            <w:pPr>
              <w:jc w:val="center"/>
              <w:rPr>
                <w:rFonts w:ascii="楷体_GB2312" w:hAnsi="宋体" w:eastAsia="楷体_GB2312" w:cs="宋体"/>
                <w:sz w:val="20"/>
                <w:szCs w:val="20"/>
              </w:rPr>
            </w:pPr>
            <w:r>
              <w:rPr>
                <w:rFonts w:hint="eastAsia" w:ascii="楷体_GB2312" w:eastAsia="楷体_GB2312"/>
                <w:sz w:val="20"/>
                <w:szCs w:val="20"/>
              </w:rPr>
              <w:t>1009</w:t>
            </w:r>
          </w:p>
        </w:tc>
        <w:tc>
          <w:tcPr>
            <w:tcW w:w="1134" w:type="dxa"/>
            <w:tcBorders>
              <w:top w:val="nil"/>
              <w:left w:val="nil"/>
              <w:bottom w:val="single" w:color="auto" w:sz="8" w:space="0"/>
              <w:right w:val="single" w:color="auto" w:sz="8" w:space="0"/>
            </w:tcBorders>
            <w:shd w:val="clear" w:color="auto" w:fill="auto"/>
            <w:vAlign w:val="center"/>
          </w:tcPr>
          <w:p>
            <w:pPr>
              <w:jc w:val="center"/>
              <w:rPr>
                <w:rFonts w:ascii="楷体_GB2312" w:hAnsi="宋体" w:eastAsia="楷体_GB2312" w:cs="宋体"/>
                <w:sz w:val="20"/>
                <w:szCs w:val="20"/>
              </w:rPr>
            </w:pPr>
            <w:r>
              <w:rPr>
                <w:rFonts w:hint="eastAsia" w:ascii="楷体_GB2312" w:eastAsia="楷体_GB2312"/>
                <w:sz w:val="20"/>
                <w:szCs w:val="20"/>
              </w:rPr>
              <w:t>5.4%</w:t>
            </w:r>
          </w:p>
        </w:tc>
      </w:tr>
      <w:tr>
        <w:tblPrEx>
          <w:tblCellMar>
            <w:top w:w="0" w:type="dxa"/>
            <w:left w:w="108" w:type="dxa"/>
            <w:bottom w:w="0" w:type="dxa"/>
            <w:right w:w="108" w:type="dxa"/>
          </w:tblCellMar>
        </w:tblPrEx>
        <w:trPr>
          <w:trHeight w:val="300" w:hRule="atLeast"/>
        </w:trPr>
        <w:tc>
          <w:tcPr>
            <w:tcW w:w="1711" w:type="dxa"/>
            <w:tcBorders>
              <w:top w:val="nil"/>
              <w:left w:val="single" w:color="auto" w:sz="8" w:space="0"/>
              <w:bottom w:val="single" w:color="auto" w:sz="8" w:space="0"/>
              <w:right w:val="single" w:color="auto" w:sz="8" w:space="0"/>
            </w:tcBorders>
            <w:shd w:val="clear" w:color="auto" w:fill="auto"/>
            <w:vAlign w:val="center"/>
          </w:tcPr>
          <w:p>
            <w:pPr>
              <w:rPr>
                <w:rFonts w:ascii="楷体_GB2312" w:hAnsi="宋体" w:eastAsia="楷体_GB2312" w:cs="宋体"/>
                <w:b/>
                <w:bCs/>
                <w:color w:val="000000"/>
                <w:sz w:val="20"/>
                <w:szCs w:val="20"/>
              </w:rPr>
            </w:pPr>
            <w:r>
              <w:rPr>
                <w:rFonts w:hint="eastAsia" w:ascii="楷体_GB2312" w:eastAsia="楷体_GB2312"/>
                <w:b/>
                <w:bCs/>
                <w:color w:val="000000"/>
                <w:sz w:val="20"/>
                <w:szCs w:val="20"/>
              </w:rPr>
              <w:t>合计</w:t>
            </w:r>
          </w:p>
        </w:tc>
        <w:tc>
          <w:tcPr>
            <w:tcW w:w="993" w:type="dxa"/>
            <w:tcBorders>
              <w:top w:val="nil"/>
              <w:left w:val="nil"/>
              <w:bottom w:val="single" w:color="auto" w:sz="8" w:space="0"/>
              <w:right w:val="single" w:color="auto" w:sz="8" w:space="0"/>
            </w:tcBorders>
            <w:shd w:val="clear" w:color="auto" w:fill="auto"/>
            <w:vAlign w:val="center"/>
          </w:tcPr>
          <w:p>
            <w:pPr>
              <w:jc w:val="center"/>
              <w:rPr>
                <w:rFonts w:ascii="楷体_GB2312" w:hAnsi="宋体" w:eastAsia="楷体_GB2312" w:cs="宋体"/>
                <w:color w:val="000000"/>
                <w:sz w:val="20"/>
                <w:szCs w:val="20"/>
              </w:rPr>
            </w:pPr>
            <w:r>
              <w:rPr>
                <w:rFonts w:hint="eastAsia" w:ascii="楷体_GB2312" w:eastAsia="楷体_GB2312"/>
                <w:color w:val="000000"/>
                <w:sz w:val="20"/>
                <w:szCs w:val="20"/>
              </w:rPr>
              <w:t>50152</w:t>
            </w:r>
          </w:p>
        </w:tc>
        <w:tc>
          <w:tcPr>
            <w:tcW w:w="850" w:type="dxa"/>
            <w:tcBorders>
              <w:top w:val="nil"/>
              <w:left w:val="nil"/>
              <w:bottom w:val="single" w:color="auto" w:sz="8" w:space="0"/>
              <w:right w:val="single" w:color="auto" w:sz="8" w:space="0"/>
            </w:tcBorders>
            <w:shd w:val="clear" w:color="auto" w:fill="auto"/>
            <w:vAlign w:val="center"/>
          </w:tcPr>
          <w:p>
            <w:pPr>
              <w:jc w:val="center"/>
              <w:rPr>
                <w:rFonts w:ascii="楷体_GB2312" w:hAnsi="宋体" w:eastAsia="楷体_GB2312" w:cs="宋体"/>
                <w:color w:val="000000"/>
                <w:sz w:val="20"/>
                <w:szCs w:val="20"/>
              </w:rPr>
            </w:pPr>
            <w:r>
              <w:rPr>
                <w:rFonts w:hint="eastAsia" w:ascii="楷体_GB2312" w:eastAsia="楷体_GB2312"/>
                <w:color w:val="000000"/>
                <w:sz w:val="20"/>
                <w:szCs w:val="20"/>
              </w:rPr>
              <w:t>100.0%</w:t>
            </w:r>
          </w:p>
        </w:tc>
        <w:tc>
          <w:tcPr>
            <w:tcW w:w="851" w:type="dxa"/>
            <w:tcBorders>
              <w:top w:val="nil"/>
              <w:left w:val="nil"/>
              <w:bottom w:val="single" w:color="auto" w:sz="8" w:space="0"/>
              <w:right w:val="single" w:color="auto" w:sz="8" w:space="0"/>
            </w:tcBorders>
            <w:shd w:val="clear" w:color="auto" w:fill="auto"/>
            <w:vAlign w:val="center"/>
          </w:tcPr>
          <w:p>
            <w:pPr>
              <w:jc w:val="center"/>
              <w:rPr>
                <w:rFonts w:ascii="楷体_GB2312" w:hAnsi="宋体" w:eastAsia="楷体_GB2312" w:cs="宋体"/>
                <w:color w:val="000000"/>
                <w:sz w:val="20"/>
                <w:szCs w:val="20"/>
              </w:rPr>
            </w:pPr>
            <w:r>
              <w:rPr>
                <w:rFonts w:hint="eastAsia" w:ascii="楷体_GB2312" w:eastAsia="楷体_GB2312"/>
                <w:color w:val="000000"/>
                <w:sz w:val="20"/>
                <w:szCs w:val="20"/>
              </w:rPr>
              <w:t>48507</w:t>
            </w:r>
          </w:p>
        </w:tc>
        <w:tc>
          <w:tcPr>
            <w:tcW w:w="850" w:type="dxa"/>
            <w:tcBorders>
              <w:top w:val="nil"/>
              <w:left w:val="nil"/>
              <w:bottom w:val="single" w:color="auto" w:sz="8" w:space="0"/>
              <w:right w:val="single" w:color="auto" w:sz="8" w:space="0"/>
            </w:tcBorders>
            <w:shd w:val="clear" w:color="auto" w:fill="auto"/>
            <w:vAlign w:val="center"/>
          </w:tcPr>
          <w:p>
            <w:pPr>
              <w:jc w:val="center"/>
              <w:rPr>
                <w:rFonts w:ascii="楷体_GB2312" w:hAnsi="宋体" w:eastAsia="楷体_GB2312" w:cs="宋体"/>
                <w:color w:val="000000"/>
                <w:sz w:val="20"/>
                <w:szCs w:val="20"/>
              </w:rPr>
            </w:pPr>
            <w:r>
              <w:rPr>
                <w:rFonts w:hint="eastAsia" w:ascii="楷体_GB2312" w:eastAsia="楷体_GB2312"/>
                <w:color w:val="000000"/>
                <w:sz w:val="20"/>
                <w:szCs w:val="20"/>
              </w:rPr>
              <w:t>100.0%</w:t>
            </w:r>
          </w:p>
        </w:tc>
        <w:tc>
          <w:tcPr>
            <w:tcW w:w="992" w:type="dxa"/>
            <w:tcBorders>
              <w:top w:val="nil"/>
              <w:left w:val="nil"/>
              <w:bottom w:val="single" w:color="auto" w:sz="8" w:space="0"/>
              <w:right w:val="single" w:color="auto" w:sz="8" w:space="0"/>
            </w:tcBorders>
            <w:shd w:val="clear" w:color="auto" w:fill="auto"/>
            <w:vAlign w:val="center"/>
          </w:tcPr>
          <w:p>
            <w:pPr>
              <w:jc w:val="center"/>
              <w:rPr>
                <w:rFonts w:ascii="楷体_GB2312" w:hAnsi="宋体" w:eastAsia="楷体_GB2312" w:cs="宋体"/>
                <w:sz w:val="20"/>
                <w:szCs w:val="20"/>
              </w:rPr>
            </w:pPr>
            <w:r>
              <w:rPr>
                <w:rFonts w:hint="eastAsia" w:ascii="楷体_GB2312" w:eastAsia="楷体_GB2312"/>
                <w:sz w:val="20"/>
                <w:szCs w:val="20"/>
              </w:rPr>
              <w:t>1645</w:t>
            </w:r>
          </w:p>
        </w:tc>
        <w:tc>
          <w:tcPr>
            <w:tcW w:w="1134" w:type="dxa"/>
            <w:tcBorders>
              <w:top w:val="nil"/>
              <w:left w:val="nil"/>
              <w:bottom w:val="single" w:color="auto" w:sz="8" w:space="0"/>
              <w:right w:val="single" w:color="auto" w:sz="8" w:space="0"/>
            </w:tcBorders>
            <w:shd w:val="clear" w:color="auto" w:fill="auto"/>
            <w:vAlign w:val="center"/>
          </w:tcPr>
          <w:p>
            <w:pPr>
              <w:jc w:val="center"/>
              <w:rPr>
                <w:rFonts w:ascii="楷体_GB2312" w:hAnsi="宋体" w:eastAsia="楷体_GB2312" w:cs="宋体"/>
                <w:sz w:val="20"/>
                <w:szCs w:val="20"/>
              </w:rPr>
            </w:pPr>
            <w:r>
              <w:rPr>
                <w:rFonts w:hint="eastAsia" w:ascii="楷体_GB2312" w:eastAsia="楷体_GB2312"/>
                <w:sz w:val="20"/>
                <w:szCs w:val="20"/>
              </w:rPr>
              <w:t>3.4%</w:t>
            </w:r>
          </w:p>
        </w:tc>
      </w:tr>
    </w:tbl>
    <w:p>
      <w:pPr>
        <w:ind w:firstLine="640"/>
        <w:rPr>
          <w:rFonts w:ascii="仿宋_GB2312" w:hAnsi="仿宋" w:eastAsia="仿宋_GB2312" w:cs="仿宋"/>
          <w:sz w:val="32"/>
        </w:rPr>
      </w:pPr>
    </w:p>
    <w:p>
      <w:pPr>
        <w:ind w:firstLine="640"/>
        <w:rPr>
          <w:rFonts w:ascii="宋体" w:hAnsi="宋体" w:cs="宋体"/>
          <w:b/>
          <w:bCs/>
          <w:sz w:val="32"/>
          <w:szCs w:val="32"/>
        </w:rPr>
      </w:pPr>
      <w:r>
        <w:rPr>
          <w:rFonts w:hint="eastAsia" w:ascii="宋体" w:hAnsi="宋体" w:cs="宋体"/>
          <w:b/>
          <w:bCs/>
          <w:sz w:val="32"/>
          <w:szCs w:val="32"/>
        </w:rPr>
        <w:t>（三）一般公共预算支出完成情况</w:t>
      </w:r>
    </w:p>
    <w:p>
      <w:pPr>
        <w:ind w:firstLine="640"/>
        <w:rPr>
          <w:rFonts w:ascii="宋体" w:hAnsi="宋体" w:cs="宋体"/>
          <w:sz w:val="32"/>
        </w:rPr>
      </w:pPr>
      <w:r>
        <w:rPr>
          <w:rFonts w:hint="eastAsia" w:ascii="宋体" w:hAnsi="宋体" w:cs="宋体"/>
          <w:sz w:val="32"/>
        </w:rPr>
        <w:t>今年以来，财政部门在市委、市政府的正确领导下，认真落实积极的财政政策，加强支出预算执行管理，积极盘活财政存量，保障民生等重点支出需要。2020年一般公共预算支出297880万元，占调整预算98.8%,同比增长13.8%。</w:t>
      </w:r>
      <w:r>
        <w:rPr>
          <w:rFonts w:hint="eastAsia" w:ascii="宋体" w:hAnsi="宋体" w:cs="宋体"/>
          <w:sz w:val="32"/>
          <w:szCs w:val="32"/>
        </w:rPr>
        <w:t>从历年情况看，我市近五年支出规模保持逐年扩大的态势，实现了稳步增长。</w:t>
      </w:r>
    </w:p>
    <w:p>
      <w:pPr>
        <w:ind w:firstLine="643"/>
        <w:jc w:val="center"/>
      </w:pPr>
      <w:r>
        <w:pict>
          <v:shape id="_x0000_i1027" o:spt="75" type="#_x0000_t75" style="height:342pt;width:436.5pt;" filled="f" o:preferrelative="t" stroked="f" coordsize="21600,21600"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">
            <v:path/>
            <v:fill on="f" focussize="0,0"/>
            <v:stroke on="f" joinstyle="miter"/>
            <v:imagedata r:id="rId8" o:title=""/>
            <o:lock v:ext="edit" aspectratio="f"/>
            <w10:wrap type="none"/>
            <w10:anchorlock/>
          </v:shape>
        </w:pict>
      </w:r>
    </w:p>
    <w:p>
      <w:pPr>
        <w:spacing w:line="600" w:lineRule="exact"/>
        <w:ind w:firstLine="643"/>
        <w:rPr>
          <w:rFonts w:ascii="宋体" w:hAnsi="宋体" w:cs="宋体"/>
          <w:sz w:val="32"/>
        </w:rPr>
      </w:pPr>
      <w:r>
        <w:rPr>
          <w:rFonts w:hint="eastAsia" w:ascii="宋体" w:hAnsi="宋体" w:cs="宋体"/>
          <w:sz w:val="32"/>
        </w:rPr>
        <w:t>主要项目的执行情况是：一般公共服务25971万元,占调整预算100%，与上年同期持平；公共安全支出9945万元，占调整预算100%,同比下降5.6%；教育支出64269万元,占调整预算99.5%,同比增长4.2%；科学技术支出1233万元，占调整预算100%，同比下降45.4%；文化旅游体育与传媒支出19153万元,占调整预算100%，同比增长156%；社会保障和就业36666万元,占调整预算100%,同比增长25.4%；卫生健康支出23863万元,占调整预算100%,同比增长26.9%;节能环保支出20163万元,占调整预算100%，同比增长36.3%；城乡社区支出23018万元,占调整预算94%，同比增长45%；农林水支出41482万元，占调整预算99.5%，同比增长11.2%；交通运输支出13509万元，占调整预算100%，同比增长1.4%；资源勘探信息等支出8580万元，占调整预算100%，同比下降42.1%；商业服务业等支出3403万元，占调整预算100%，同比增长367.4%；自然资源海洋气象等支出1484万元，占调整预算100%，同比增长52.2%；住房保障支出1121万元，占调整预算100%，同比下降12%；粮油物资储备支出969万元，占调整预算100%，同比增长48.8%；灾害防治及应急管理支出1086万元，占调整预算98.8%，同比下降32.7%；其他支出74万元，占调整预算4.4%；债务付息支出1875万元，占调整预算100%，同比增长49.9%</w:t>
      </w:r>
      <w:r>
        <w:rPr>
          <w:rFonts w:hint="eastAsia" w:ascii="宋体" w:hAnsi="宋体" w:cs="宋体"/>
          <w:sz w:val="32"/>
          <w:lang w:eastAsia="zh-CN"/>
        </w:rPr>
        <w:t>；债务发行费用支出</w:t>
      </w:r>
      <w:r>
        <w:rPr>
          <w:rFonts w:hint="eastAsia" w:ascii="宋体" w:hAnsi="宋体" w:cs="宋体"/>
          <w:sz w:val="32"/>
          <w:lang w:val="en-US" w:eastAsia="zh-CN"/>
        </w:rPr>
        <w:t>16万元，占调整预算100%</w:t>
      </w:r>
      <w:r>
        <w:rPr>
          <w:rFonts w:hint="eastAsia" w:ascii="宋体" w:hAnsi="宋体" w:cs="宋体"/>
          <w:sz w:val="32"/>
        </w:rPr>
        <w:t>。</w:t>
      </w:r>
    </w:p>
    <w:p>
      <w:pPr>
        <w:spacing w:line="600" w:lineRule="exact"/>
        <w:ind w:firstLine="643"/>
        <w:jc w:val="left"/>
        <w:rPr>
          <w:rFonts w:ascii="仿宋_GB2312" w:hAnsi="仿宋" w:eastAsia="仿宋_GB2312" w:cs="仿宋"/>
          <w:b/>
          <w:sz w:val="32"/>
        </w:rPr>
      </w:pPr>
      <w:r>
        <w:rPr>
          <w:rFonts w:hint="eastAsia" w:ascii="黑体" w:hAnsi="黑体" w:eastAsia="黑体" w:cs="黑体"/>
          <w:sz w:val="32"/>
        </w:rPr>
        <w:t>四、</w:t>
      </w:r>
      <w:r>
        <w:rPr>
          <w:rFonts w:hint="eastAsia" w:ascii="黑体" w:hAnsi="黑体" w:eastAsia="黑体" w:cs="仿宋"/>
          <w:sz w:val="32"/>
        </w:rPr>
        <w:t>规模以上工业企业入库税款情况</w:t>
      </w:r>
    </w:p>
    <w:p>
      <w:pPr>
        <w:spacing w:line="600" w:lineRule="exact"/>
        <w:ind w:firstLine="640"/>
        <w:rPr>
          <w:rFonts w:ascii="宋体" w:hAnsi="宋体" w:cs="宋体"/>
          <w:sz w:val="32"/>
        </w:rPr>
      </w:pPr>
      <w:r>
        <w:rPr>
          <w:rFonts w:hint="eastAsia" w:ascii="宋体" w:hAnsi="宋体" w:cs="宋体"/>
          <w:sz w:val="32"/>
        </w:rPr>
        <w:t>2020年我市规模以上工业企业共49家，其中机电行业企业26家，化工装备制造业企业1家，印染行业企业2家，铝加工业企业5家，热电行业企业3家，化工行业企业4家，农副产品加工业企业4家，其他企业4家。2020年上缴税金25523万元，占财政总收入的31.2%，比上年同期26534万元下降3.8%，减收1011万元。规模以上工业企业对财政收入起着重要的支撑作用。</w:t>
      </w:r>
    </w:p>
    <w:p>
      <w:pPr>
        <w:spacing w:line="600" w:lineRule="exact"/>
        <w:ind w:firstLine="640"/>
        <w:rPr>
          <w:rFonts w:ascii="宋体" w:hAnsi="宋体" w:cs="宋体"/>
          <w:b/>
          <w:bCs/>
          <w:sz w:val="32"/>
          <w:szCs w:val="32"/>
        </w:rPr>
      </w:pPr>
      <w:r>
        <w:rPr>
          <w:rFonts w:hint="eastAsia" w:ascii="宋体" w:hAnsi="宋体" w:cs="宋体"/>
          <w:b/>
          <w:bCs/>
          <w:sz w:val="32"/>
          <w:szCs w:val="32"/>
        </w:rPr>
        <w:t>（一）机电制造业</w:t>
      </w:r>
    </w:p>
    <w:p>
      <w:pPr>
        <w:spacing w:line="600" w:lineRule="exact"/>
        <w:ind w:firstLine="640"/>
        <w:rPr>
          <w:rFonts w:ascii="宋体" w:hAnsi="宋体" w:cs="宋体"/>
          <w:sz w:val="32"/>
        </w:rPr>
      </w:pPr>
      <w:r>
        <w:rPr>
          <w:rFonts w:hint="eastAsia" w:ascii="宋体" w:hAnsi="宋体" w:cs="宋体"/>
          <w:sz w:val="32"/>
        </w:rPr>
        <w:t>以中车永济电机有限公司为代表的26家机电</w:t>
      </w:r>
      <w:r>
        <w:rPr>
          <w:rFonts w:hint="eastAsia" w:ascii="宋体" w:hAnsi="宋体" w:cs="宋体"/>
          <w:sz w:val="32"/>
          <w:lang w:eastAsia="zh-CN"/>
        </w:rPr>
        <w:t>行业</w:t>
      </w:r>
      <w:r>
        <w:rPr>
          <w:rFonts w:hint="eastAsia" w:ascii="宋体" w:hAnsi="宋体" w:cs="宋体"/>
          <w:sz w:val="32"/>
        </w:rPr>
        <w:t>企业入库税款14563万元，同比下降25.3%，减收4924万元。主要企业情况如下：</w:t>
      </w:r>
    </w:p>
    <w:p>
      <w:pPr>
        <w:numPr>
          <w:numId w:val="0"/>
        </w:numPr>
        <w:spacing w:line="600" w:lineRule="exact"/>
        <w:ind w:firstLine="640" w:firstLineChars="200"/>
        <w:rPr>
          <w:rFonts w:hint="eastAsia" w:ascii="宋体" w:hAnsi="宋体" w:cs="宋体"/>
          <w:sz w:val="32"/>
        </w:rPr>
      </w:pPr>
      <w:r>
        <w:rPr>
          <w:rFonts w:hint="eastAsia" w:ascii="宋体" w:hAnsi="宋体" w:cs="宋体"/>
          <w:sz w:val="32"/>
        </w:rPr>
        <w:t>——中车永济电机有限公司。2020年实现销售收入40.9亿元，较同期38.8亿元增加2.1亿元。入库税款8031万元，较同期12540万元减收4509万元。税收减少的主要原因一是2016年以来国家铁路建设速度放缓，产品需求回升迟滞，行业景气度持续下降；二是市场竞争激烈，产品交付周期延长，增值空间减少，轨道交通市场主机公司要求每年价格下降2%，风电市场价与检修市场格战激烈，降幅明显；三是原材料价格持续上涨，采购成本上升，进项加大；四是国家鼓励企业创新发展，提档升级，减税降费力度加大；五是国际环境复杂，加之疫情影响，海外市场拓展迟缓。</w:t>
      </w:r>
    </w:p>
    <w:p>
      <w:pPr>
        <w:spacing w:line="600" w:lineRule="exact"/>
        <w:ind w:firstLine="640"/>
        <w:rPr>
          <w:rFonts w:hint="eastAsia" w:ascii="宋体" w:hAnsi="宋体" w:cs="宋体"/>
          <w:sz w:val="32"/>
        </w:rPr>
      </w:pPr>
      <w:r>
        <w:rPr>
          <w:rFonts w:hint="eastAsia" w:ascii="宋体" w:hAnsi="宋体" w:cs="宋体"/>
          <w:sz w:val="32"/>
        </w:rPr>
        <w:t>与中车永济电机相关联的企业入库税款情况：永济立达电气配件制造有限公司入库税款1302万元，同比下降22.2%，减收371万元；永济优耐特绝缘材料有限公司入库税款530万元，与上年同期持平；永济电机天作电气有限责任公司入库税款488万元，同比下降3.7%，减收19万元；永济中车电机电器修配有限公司入库税款227万元，同比下降51.7%，减收243万元；永济通用电机制造有限责任公司入库税款304万元，同比下降33.2%，减收151万元。</w:t>
      </w:r>
    </w:p>
    <w:p>
      <w:pPr>
        <w:spacing w:line="600" w:lineRule="exact"/>
        <w:ind w:firstLine="640"/>
        <w:rPr>
          <w:rFonts w:ascii="宋体" w:hAnsi="宋体" w:cs="宋体"/>
          <w:b/>
          <w:bCs/>
          <w:sz w:val="32"/>
          <w:szCs w:val="32"/>
        </w:rPr>
      </w:pPr>
      <w:r>
        <w:rPr>
          <w:rFonts w:hint="eastAsia" w:ascii="宋体" w:hAnsi="宋体" w:cs="宋体"/>
          <w:b/>
          <w:bCs/>
          <w:sz w:val="32"/>
          <w:szCs w:val="32"/>
        </w:rPr>
        <w:t>（二）化工装备制造业</w:t>
      </w:r>
    </w:p>
    <w:p>
      <w:pPr>
        <w:spacing w:line="600" w:lineRule="exact"/>
        <w:ind w:firstLine="640"/>
        <w:rPr>
          <w:rFonts w:ascii="宋体" w:hAnsi="宋体" w:cs="宋体"/>
          <w:sz w:val="32"/>
        </w:rPr>
      </w:pPr>
      <w:r>
        <w:rPr>
          <w:rFonts w:hint="eastAsia" w:ascii="宋体" w:hAnsi="宋体" w:cs="宋体"/>
          <w:sz w:val="32"/>
        </w:rPr>
        <w:t>化工装备制造业企业1家， 丰喜化工设备有限公司。</w:t>
      </w:r>
    </w:p>
    <w:p>
      <w:pPr>
        <w:spacing w:line="600" w:lineRule="exact"/>
        <w:ind w:firstLine="640"/>
        <w:rPr>
          <w:rFonts w:hint="eastAsia" w:ascii="宋体" w:hAnsi="宋体" w:cs="宋体"/>
          <w:sz w:val="32"/>
        </w:rPr>
      </w:pPr>
      <w:r>
        <w:rPr>
          <w:rFonts w:hint="eastAsia" w:ascii="宋体" w:hAnsi="宋体" w:cs="宋体"/>
          <w:sz w:val="32"/>
        </w:rPr>
        <w:t>——山西丰喜化工设备有限公司。2020年累计实现销售收入4.8亿元，较同期4.98万元减少0.18亿元。入库税款1241万元，较同期1024万元</w:t>
      </w:r>
      <w:r>
        <w:rPr>
          <w:rFonts w:hint="eastAsia" w:ascii="宋体" w:hAnsi="宋体" w:cs="宋体"/>
          <w:sz w:val="32"/>
          <w:lang w:eastAsia="zh-CN"/>
        </w:rPr>
        <w:t>增</w:t>
      </w:r>
      <w:r>
        <w:rPr>
          <w:rFonts w:hint="eastAsia" w:ascii="宋体" w:hAnsi="宋体" w:cs="宋体"/>
          <w:sz w:val="32"/>
        </w:rPr>
        <w:t>收217万元。</w:t>
      </w:r>
    </w:p>
    <w:p>
      <w:pPr>
        <w:spacing w:line="600" w:lineRule="exact"/>
        <w:ind w:firstLine="640"/>
        <w:rPr>
          <w:rFonts w:ascii="宋体" w:hAnsi="宋体" w:cs="宋体"/>
          <w:sz w:val="32"/>
        </w:rPr>
      </w:pPr>
      <w:r>
        <w:rPr>
          <w:rFonts w:hint="eastAsia" w:ascii="宋体" w:hAnsi="宋体" w:cs="宋体"/>
          <w:b/>
          <w:bCs/>
          <w:sz w:val="32"/>
          <w:szCs w:val="32"/>
        </w:rPr>
        <w:t>（三）铝加工业</w:t>
      </w:r>
    </w:p>
    <w:p>
      <w:pPr>
        <w:spacing w:line="600" w:lineRule="exact"/>
        <w:ind w:firstLine="640"/>
        <w:rPr>
          <w:rFonts w:ascii="宋体" w:hAnsi="宋体" w:cs="宋体"/>
          <w:sz w:val="32"/>
        </w:rPr>
      </w:pPr>
      <w:r>
        <w:rPr>
          <w:rFonts w:hint="eastAsia" w:ascii="宋体" w:hAnsi="宋体" w:cs="宋体"/>
          <w:sz w:val="32"/>
        </w:rPr>
        <w:t>以华圣铝业为代表的5家铝加工企业，入库税款7114万元，同比增长115.2%，增收3808万元。主要企业情况如下：</w:t>
      </w:r>
    </w:p>
    <w:p>
      <w:pPr>
        <w:spacing w:line="600" w:lineRule="exact"/>
        <w:ind w:firstLine="640"/>
        <w:rPr>
          <w:rFonts w:hint="eastAsia" w:ascii="宋体" w:hAnsi="宋体" w:cs="宋体"/>
          <w:sz w:val="32"/>
        </w:rPr>
      </w:pPr>
      <w:r>
        <w:rPr>
          <w:rFonts w:hint="eastAsia" w:ascii="宋体" w:hAnsi="宋体" w:cs="宋体"/>
          <w:sz w:val="32"/>
        </w:rPr>
        <w:t>——山西华圣铝业有限公司。2020年实现销售收入9.26亿元，较同期11.38亿减少2.12亿元。入库税款6294万元，较同期2406万元增收3888万元。入库税款增加原因是2019年华圣铝业停产后，2020年元月份无形资产（产能转移）一次性收入8.5亿元，入库增值税5134万元。</w:t>
      </w:r>
    </w:p>
    <w:p>
      <w:pPr>
        <w:spacing w:line="600" w:lineRule="exact"/>
        <w:ind w:firstLine="640"/>
        <w:rPr>
          <w:rFonts w:ascii="宋体" w:hAnsi="宋体" w:cs="宋体"/>
          <w:sz w:val="32"/>
        </w:rPr>
      </w:pPr>
      <w:r>
        <w:rPr>
          <w:rFonts w:hint="eastAsia" w:ascii="宋体" w:hAnsi="宋体" w:cs="宋体"/>
          <w:sz w:val="32"/>
        </w:rPr>
        <w:t>山西阳煤千军汽车部件有限责任公司入库税款291万元，同比增长27.6 %，增收63万元；山西海丰铝业有限公司入库税款283万元，同比下降28.2%，减收111万元；永济市华茂铸造有限公司入库税款165万元，与同期基本持平。</w:t>
      </w:r>
    </w:p>
    <w:p>
      <w:pPr>
        <w:spacing w:line="600" w:lineRule="exact"/>
        <w:ind w:firstLine="640"/>
        <w:rPr>
          <w:rFonts w:ascii="宋体" w:hAnsi="宋体" w:cs="宋体"/>
          <w:b/>
          <w:bCs/>
          <w:sz w:val="32"/>
          <w:szCs w:val="32"/>
        </w:rPr>
      </w:pPr>
      <w:r>
        <w:rPr>
          <w:rFonts w:hint="eastAsia" w:ascii="宋体" w:hAnsi="宋体" w:cs="宋体"/>
          <w:b/>
          <w:bCs/>
          <w:sz w:val="32"/>
          <w:szCs w:val="32"/>
        </w:rPr>
        <w:t>（四）热电行业</w:t>
      </w:r>
    </w:p>
    <w:p>
      <w:pPr>
        <w:spacing w:line="600" w:lineRule="exact"/>
        <w:ind w:firstLine="640"/>
        <w:rPr>
          <w:rFonts w:ascii="宋体" w:hAnsi="宋体" w:cs="宋体"/>
          <w:sz w:val="32"/>
        </w:rPr>
      </w:pPr>
      <w:r>
        <w:rPr>
          <w:rFonts w:hint="eastAsia" w:ascii="宋体" w:hAnsi="宋体" w:cs="宋体"/>
          <w:sz w:val="32"/>
          <w:lang w:eastAsia="zh-CN"/>
        </w:rPr>
        <w:t>热电</w:t>
      </w:r>
      <w:r>
        <w:rPr>
          <w:rFonts w:hint="eastAsia" w:ascii="宋体" w:hAnsi="宋体" w:cs="宋体"/>
          <w:sz w:val="32"/>
        </w:rPr>
        <w:t>行业的3家规上企业入库税款650万元，与上年同期基本持平。</w:t>
      </w:r>
    </w:p>
    <w:p>
      <w:pPr>
        <w:spacing w:line="600" w:lineRule="exact"/>
        <w:ind w:firstLine="640"/>
        <w:rPr>
          <w:rFonts w:hint="eastAsia" w:ascii="宋体" w:hAnsi="宋体" w:cs="宋体"/>
          <w:sz w:val="32"/>
        </w:rPr>
      </w:pPr>
      <w:r>
        <w:rPr>
          <w:rFonts w:hint="eastAsia" w:ascii="宋体" w:hAnsi="宋体" w:cs="宋体"/>
          <w:sz w:val="32"/>
        </w:rPr>
        <w:t>——蒲洲热电有限公司入库税款289万元，同比下降18.4%，减收65万元。企业自2013年12月成立后，由于有大额留抵税款，一直未实现增值税，近几年年均入库其他税收300万元左右。</w:t>
      </w:r>
    </w:p>
    <w:p>
      <w:pPr>
        <w:spacing w:line="600" w:lineRule="exact"/>
        <w:ind w:firstLine="640"/>
        <w:rPr>
          <w:rFonts w:ascii="宋体" w:hAnsi="宋体" w:cs="宋体"/>
          <w:sz w:val="32"/>
          <w:highlight w:val="yellow"/>
        </w:rPr>
      </w:pPr>
      <w:r>
        <w:rPr>
          <w:rFonts w:hint="eastAsia" w:ascii="宋体" w:hAnsi="宋体" w:cs="宋体"/>
          <w:sz w:val="32"/>
        </w:rPr>
        <w:t>永济市民生天然气有限公司入库税款355万元，同比增长21.6 %，增收63万元。</w:t>
      </w:r>
    </w:p>
    <w:p>
      <w:pPr>
        <w:spacing w:line="600" w:lineRule="exact"/>
        <w:ind w:firstLine="640"/>
        <w:rPr>
          <w:rFonts w:ascii="宋体" w:hAnsi="宋体" w:cs="宋体"/>
          <w:b/>
          <w:bCs/>
          <w:sz w:val="32"/>
          <w:szCs w:val="32"/>
        </w:rPr>
      </w:pPr>
      <w:r>
        <w:rPr>
          <w:rFonts w:hint="eastAsia" w:ascii="宋体" w:hAnsi="宋体" w:cs="宋体"/>
          <w:b/>
          <w:bCs/>
          <w:sz w:val="32"/>
          <w:szCs w:val="32"/>
        </w:rPr>
        <w:t>（五）农副产品加工业</w:t>
      </w:r>
    </w:p>
    <w:p>
      <w:pPr>
        <w:spacing w:line="600" w:lineRule="exact"/>
        <w:ind w:firstLine="640"/>
        <w:rPr>
          <w:rFonts w:ascii="宋体" w:hAnsi="宋体" w:cs="宋体"/>
          <w:sz w:val="32"/>
        </w:rPr>
      </w:pPr>
      <w:r>
        <w:rPr>
          <w:rFonts w:hint="eastAsia" w:ascii="宋体" w:hAnsi="宋体" w:cs="宋体"/>
          <w:sz w:val="32"/>
        </w:rPr>
        <w:t>4家农副产品加工企业，入库税款903万元，同比下降5.9%，减收57万元。由于农副产品加工业享受国家税收优惠政策， 整个行业虽然产值较大，但入库税款比重小。</w:t>
      </w:r>
    </w:p>
    <w:p>
      <w:pPr>
        <w:spacing w:line="600" w:lineRule="exact"/>
        <w:ind w:firstLine="640"/>
        <w:rPr>
          <w:rFonts w:ascii="宋体" w:hAnsi="宋体" w:cs="宋体"/>
          <w:sz w:val="32"/>
        </w:rPr>
      </w:pPr>
      <w:r>
        <w:rPr>
          <w:rFonts w:hint="eastAsia" w:ascii="宋体" w:hAnsi="宋体" w:cs="宋体"/>
          <w:sz w:val="32"/>
        </w:rPr>
        <w:t>——永济安德利果蔬汁有限公司。2020年实现销售收入2.44亿元，较上年同期1.33亿元增加1.11亿元。入库税款892万元，</w:t>
      </w:r>
      <w:r>
        <w:rPr>
          <w:rFonts w:hint="eastAsia" w:ascii="宋体" w:hAnsi="宋体" w:cs="宋体"/>
          <w:sz w:val="32"/>
          <w:lang w:eastAsia="zh-CN"/>
        </w:rPr>
        <w:t>与上年同期持平</w:t>
      </w:r>
      <w:bookmarkStart w:id="1" w:name="_GoBack"/>
      <w:bookmarkEnd w:id="1"/>
      <w:r>
        <w:rPr>
          <w:rFonts w:hint="eastAsia" w:ascii="宋体" w:hAnsi="宋体" w:cs="宋体"/>
          <w:sz w:val="32"/>
        </w:rPr>
        <w:t>。</w:t>
      </w:r>
    </w:p>
    <w:p>
      <w:pPr>
        <w:spacing w:line="600" w:lineRule="exact"/>
        <w:ind w:firstLine="640"/>
        <w:rPr>
          <w:rFonts w:ascii="黑体" w:hAnsi="黑体" w:eastAsia="黑体" w:cs="黑体"/>
          <w:sz w:val="32"/>
        </w:rPr>
      </w:pPr>
      <w:r>
        <w:rPr>
          <w:rFonts w:hint="eastAsia" w:ascii="黑体" w:hAnsi="黑体" w:eastAsia="黑体" w:cs="黑体"/>
          <w:sz w:val="32"/>
        </w:rPr>
        <w:t>五、政府性基金预算收支情况</w:t>
      </w:r>
    </w:p>
    <w:p>
      <w:pPr>
        <w:spacing w:line="600" w:lineRule="exact"/>
        <w:ind w:firstLine="640" w:firstLineChars="200"/>
        <w:rPr>
          <w:rFonts w:ascii="宋体" w:hAnsi="宋体" w:cs="宋体"/>
          <w:sz w:val="32"/>
        </w:rPr>
      </w:pPr>
      <w:r>
        <w:rPr>
          <w:rFonts w:hint="eastAsia" w:ascii="宋体" w:hAnsi="宋体" w:cs="宋体"/>
          <w:sz w:val="32"/>
        </w:rPr>
        <w:t>2020年政府性基金收入完成43082万元，占年度23800万元的预算181%，同比增长11%，增收4261万元。其中：国有土地收益基金收入4229万元，占预算211.5%，同比增长7.3%；农业土地开发资金收入597万元，占预算298.5%，同比增长127%；国有土地使用权出让收入34734万元,占预算173.7%，同比增长6.3%；城市基础设施配套费收入2867万元，占预算286.7%，同比增长114.9%；污水处理费收入655万元，占预算109.2%，同比增长5.8%。</w:t>
      </w:r>
    </w:p>
    <w:p>
      <w:pPr>
        <w:spacing w:line="600" w:lineRule="exact"/>
        <w:ind w:firstLine="640" w:firstLineChars="200"/>
        <w:rPr>
          <w:rFonts w:ascii="宋体" w:hAnsi="宋体" w:cs="宋体"/>
          <w:sz w:val="32"/>
        </w:rPr>
      </w:pPr>
      <w:r>
        <w:rPr>
          <w:rFonts w:hint="eastAsia" w:ascii="宋体" w:hAnsi="宋体" w:cs="宋体"/>
          <w:sz w:val="32"/>
        </w:rPr>
        <w:t>2020年政府性基金预算支出46616万元，占调整预算78.5%，同比增长114.3%，增支24861万元。主要支出项目是：文化旅游与体育传媒支出49万元，同比下降86.6%；社会保障和就业支出2050万元，同比下降29.1%；城乡社区支出28393万元，同比增长128.7%，（其中：国有土地使用权出让收入安排的支出23072万元，同比增长150%；国有土地收益基金支出3162万元，同比增长201.4 %；农业土地开发资金支出148万元，同比增长97.3%；城市基础设施配套费支出1284万元，同比下降9.9%；污水处理费支出727万元，同比增长14.5%）；其他支出9471万元，同比增长107%；债务付息支出1643万元，同比增长9%；抗疫特别国债安排的支出5000万元。</w:t>
      </w:r>
    </w:p>
    <w:p>
      <w:pPr>
        <w:spacing w:line="600" w:lineRule="exact"/>
        <w:ind w:firstLine="640" w:firstLineChars="200"/>
        <w:rPr>
          <w:rFonts w:ascii="黑体" w:hAnsi="黑体" w:eastAsia="黑体" w:cs="黑体"/>
          <w:sz w:val="32"/>
        </w:rPr>
      </w:pPr>
      <w:r>
        <w:rPr>
          <w:rFonts w:hint="eastAsia" w:ascii="黑体" w:hAnsi="黑体" w:eastAsia="黑体" w:cs="黑体"/>
          <w:sz w:val="32"/>
        </w:rPr>
        <w:t>六、国有资本经营情况</w:t>
      </w:r>
    </w:p>
    <w:p>
      <w:pPr>
        <w:spacing w:line="600" w:lineRule="exact"/>
        <w:ind w:firstLine="640" w:firstLineChars="200"/>
        <w:rPr>
          <w:rFonts w:hint="eastAsia" w:ascii="宋体" w:hAnsi="宋体" w:cs="宋体"/>
          <w:sz w:val="32"/>
        </w:rPr>
      </w:pPr>
      <w:r>
        <w:rPr>
          <w:rFonts w:hint="eastAsia" w:ascii="宋体" w:hAnsi="宋体" w:cs="宋体"/>
          <w:sz w:val="32"/>
        </w:rPr>
        <w:t>2020年国有资本经营上年结转2万元，上级补助收入1564万元，国有资本收益6万元，支出1569万元，调入一般公共预算3万元，无结转资金。2020年末，我市由政府相关职能部门代表市政府投资形成具有国有资本且正常运营的企业共16户，其中</w:t>
      </w:r>
      <w:r>
        <w:rPr>
          <w:rFonts w:hint="eastAsia" w:ascii="宋体" w:hAnsi="宋体" w:cs="宋体"/>
          <w:b/>
          <w:bCs/>
          <w:sz w:val="32"/>
        </w:rPr>
        <w:t>盈利企业4户</w:t>
      </w:r>
      <w:r>
        <w:rPr>
          <w:rFonts w:hint="eastAsia" w:ascii="宋体" w:hAnsi="宋体" w:cs="宋体"/>
          <w:sz w:val="32"/>
        </w:rPr>
        <w:t>，盈利额80.73万元。主要是：粟济储备粮有限公司0.12万元，诚科建筑检测有限公司16.63万元,市政工程公司56.41万元，广播电视网络传输有限公司7.57万元;</w:t>
      </w:r>
      <w:r>
        <w:rPr>
          <w:rFonts w:hint="eastAsia" w:ascii="宋体" w:hAnsi="宋体" w:cs="宋体"/>
          <w:b/>
          <w:bCs/>
          <w:sz w:val="32"/>
        </w:rPr>
        <w:t>零利润企业2户</w:t>
      </w:r>
      <w:r>
        <w:rPr>
          <w:rFonts w:hint="eastAsia" w:ascii="宋体" w:hAnsi="宋体" w:cs="宋体"/>
          <w:sz w:val="32"/>
        </w:rPr>
        <w:t>，主要是：供水服务中心和供水开发中心；</w:t>
      </w:r>
      <w:r>
        <w:rPr>
          <w:rFonts w:hint="eastAsia" w:ascii="宋体" w:hAnsi="宋体" w:cs="宋体"/>
          <w:b/>
          <w:bCs/>
          <w:sz w:val="32"/>
        </w:rPr>
        <w:t>亏损企业10户</w:t>
      </w:r>
      <w:r>
        <w:rPr>
          <w:rFonts w:hint="eastAsia" w:ascii="宋体" w:hAnsi="宋体" w:cs="宋体"/>
          <w:sz w:val="32"/>
        </w:rPr>
        <w:t>，亏损额2497.57万元，主要是：商业总公司-0.06万元，百货大楼有限公司-214.5万元,军粮供应有限公司-0.33万元,房地产开发有限公司-67.33万元，鹳雀楼旅游集团有限公司-459.38万元，鹳雀楼集团永济五老峰旅游有限公司-366.48万元，普救寺旅游有限公司-791.24万元，蒲坂经济建设开发有限公司-367.67万元，供热服务中心-35.78万元,经济技术开发区实业发展有限责任公司-194.8万元。</w:t>
      </w:r>
    </w:p>
    <w:p>
      <w:pPr>
        <w:spacing w:line="600" w:lineRule="exact"/>
        <w:ind w:firstLine="800" w:firstLineChars="250"/>
        <w:rPr>
          <w:rFonts w:ascii="黑体" w:hAnsi="黑体" w:eastAsia="黑体"/>
          <w:sz w:val="32"/>
          <w:szCs w:val="32"/>
        </w:rPr>
      </w:pPr>
      <w:r>
        <w:rPr>
          <w:rFonts w:hint="eastAsia" w:ascii="黑体" w:hAnsi="黑体" w:eastAsia="黑体"/>
          <w:sz w:val="32"/>
          <w:szCs w:val="32"/>
        </w:rPr>
        <w:t>七、2020年主要工作情况</w:t>
      </w:r>
    </w:p>
    <w:p>
      <w:pPr>
        <w:spacing w:line="600" w:lineRule="exact"/>
        <w:ind w:firstLine="803" w:firstLineChars="250"/>
        <w:rPr>
          <w:rFonts w:ascii="宋体" w:hAnsi="宋体" w:cs="宋体"/>
          <w:sz w:val="32"/>
        </w:rPr>
      </w:pPr>
      <w:r>
        <w:rPr>
          <w:rFonts w:hint="eastAsia" w:ascii="宋体" w:hAnsi="宋体" w:cs="宋体"/>
          <w:b/>
          <w:bCs/>
          <w:sz w:val="32"/>
          <w:szCs w:val="32"/>
        </w:rPr>
        <w:t>1、把握机遇,积极向上级争取资金和政策支持。</w:t>
      </w:r>
      <w:r>
        <w:rPr>
          <w:rFonts w:hint="eastAsia" w:ascii="宋体" w:hAnsi="宋体" w:cs="宋体"/>
          <w:bCs/>
          <w:sz w:val="32"/>
        </w:rPr>
        <w:t>一是</w:t>
      </w:r>
      <w:r>
        <w:rPr>
          <w:rFonts w:hint="eastAsia" w:ascii="宋体" w:hAnsi="宋体" w:cs="宋体"/>
          <w:sz w:val="32"/>
        </w:rPr>
        <w:t>向省厅汇报疫情及减税降费政策的影响，反映财政存在的困难和问题，得到省财政厅对我市的大力支持。今年均衡性转移支付88601万元，比上年增加9019万元；县级基本财力保障机制奖补资金16175万元，比上年增加1207万元；特殊转移支付资金16060万元；新增政府债券资金24000万元，抗疫特别国债5000万元，财力紧张的局面得到了缓解，较好的支持我市经济发展。</w:t>
      </w:r>
    </w:p>
    <w:p>
      <w:pPr>
        <w:spacing w:line="600" w:lineRule="exact"/>
        <w:ind w:firstLine="640"/>
        <w:rPr>
          <w:rFonts w:ascii="宋体" w:hAnsi="宋体" w:cs="宋体"/>
          <w:bCs/>
          <w:sz w:val="32"/>
        </w:rPr>
      </w:pPr>
      <w:r>
        <w:rPr>
          <w:rFonts w:hint="eastAsia" w:ascii="宋体" w:hAnsi="宋体" w:cs="宋体"/>
          <w:b/>
          <w:bCs/>
          <w:sz w:val="32"/>
          <w:szCs w:val="32"/>
        </w:rPr>
        <w:t>2、服务“三农”，</w:t>
      </w:r>
      <w:r>
        <w:rPr>
          <w:rFonts w:hint="eastAsia" w:ascii="宋体" w:hAnsi="宋体" w:cs="宋体"/>
          <w:b/>
          <w:sz w:val="32"/>
          <w:szCs w:val="32"/>
        </w:rPr>
        <w:t>支持推进乡村振兴战略。</w:t>
      </w:r>
      <w:r>
        <w:rPr>
          <w:rFonts w:hint="eastAsia" w:ascii="宋体" w:hAnsi="宋体" w:cs="宋体"/>
          <w:sz w:val="32"/>
          <w:szCs w:val="32"/>
        </w:rPr>
        <w:t>优先发展农业农村，全面推进乡村振兴。全年农林水支出达41482万元，其中：一事一议财政奖补资金1656万元，省级美丽乡村示范村资金200万元，乡村环境治理资金938万元，村庄绿化900万元，争取上级财政专项扶贫资金976万元，本级配套150万元，促进贫困户产业发展及生活条件的改善，推进农村公益事业及基础设施、乡村环境整治、美丽乡村建设等项目发展，让乡村更美更宜居。</w:t>
      </w:r>
    </w:p>
    <w:p>
      <w:pPr>
        <w:spacing w:line="600" w:lineRule="exact"/>
        <w:ind w:firstLine="640"/>
        <w:rPr>
          <w:rFonts w:ascii="宋体" w:hAnsi="宋体" w:cs="宋体"/>
          <w:sz w:val="32"/>
        </w:rPr>
      </w:pPr>
      <w:r>
        <w:rPr>
          <w:rFonts w:hint="eastAsia" w:ascii="宋体" w:hAnsi="宋体" w:cs="宋体"/>
          <w:b/>
          <w:bCs/>
          <w:sz w:val="32"/>
        </w:rPr>
        <w:t>3、保障民生，做好民生保障增进民生福祉。</w:t>
      </w:r>
      <w:r>
        <w:rPr>
          <w:rFonts w:hint="eastAsia" w:ascii="宋体" w:hAnsi="宋体" w:cs="宋体"/>
          <w:sz w:val="32"/>
        </w:rPr>
        <w:t>一是优先保证个人部分支出，全年个人部分达到10.5亿元，比上年增长5.5%。二是继续加大教育投入。深化教育改革，促进教育公平，完善教育经费保障机制，全年教育投入达64269万元，其中学校校园环境提升改造项目2000余万元，智慧教育二期工程项目款1155.9万元，柳宗园小学及幼儿园建设项目1100万元，化解高中债务800万元；三是加强医疗卫生及社会保障。落实基本公共卫生服务经费及各项补助提标到位，积极筹措疫情防控资金，全年拨付疫情防控资金1414.13万元，做好防控经费保障工作，提升疫情防控能力；四是注重保障群众精神文化追求，抓好全面健身设施建设，完善基层文化服务体系，全年文旅体育及传媒投入达19153万元。五是支持全域旅游创建工作。制定了《推进全市全域旅游发展工作方案》，全年拨付旅游发展类资金1078万元。六是继续加大三基建设投入。主要用于“两委”主干报酬、乡镇机关基础设施均等化及提高乡镇工作补贴等。不断增进民生福祉，让群众更多更好地共享改革发展的成果。</w:t>
      </w:r>
    </w:p>
    <w:p>
      <w:pPr>
        <w:spacing w:line="600" w:lineRule="exact"/>
        <w:ind w:firstLine="640"/>
        <w:rPr>
          <w:rFonts w:ascii="宋体" w:hAnsi="宋体" w:cs="宋体"/>
          <w:sz w:val="32"/>
        </w:rPr>
      </w:pPr>
      <w:r>
        <w:rPr>
          <w:rFonts w:hint="eastAsia" w:ascii="宋体" w:hAnsi="宋体" w:cs="宋体"/>
          <w:b/>
          <w:sz w:val="32"/>
        </w:rPr>
        <w:t>4、</w:t>
      </w:r>
      <w:r>
        <w:rPr>
          <w:rFonts w:hint="eastAsia" w:ascii="宋体" w:hAnsi="宋体" w:cs="宋体"/>
          <w:b/>
          <w:bCs/>
          <w:sz w:val="32"/>
        </w:rPr>
        <w:t>创新投入方式，促进经济发展。</w:t>
      </w:r>
      <w:r>
        <w:rPr>
          <w:rFonts w:hint="eastAsia" w:ascii="宋体" w:hAnsi="宋体" w:cs="宋体"/>
          <w:sz w:val="32"/>
        </w:rPr>
        <w:t>积极创新财政投入方式和财政管理方式，更好地推进全市经济发展。一是申请拨付财政专项补助资金4351万元，为我市农业经济、“三供一业”、企业扶持提供财力支撑；二是设立产业引导基金，注册成立了基金公司，已向山西长荣农业科技股份有限公司投资2000万元，向山西穿越光电科技有限责任公司投资1000万元；三是创新财政担保方式，改进信贷担保业务流程，取得了显著成效。2020年担保贷款24户，担保额728万元，为我市农业适度规模经济发展提供了资金保证。出资1500万元参与了运城市政府性融资担保体系的组建，投入运营后可为我市中小微企业提供融资担保，解决融资困难问题；四是聘请多名专家组建“企业体检医院”，创建咨询微信群，组织专题培训会,印制《企业管理需求统计表》，并对13家企业进行走访调研，出具企业体检诊断报告,提升企业经营管理水平。</w:t>
      </w:r>
    </w:p>
    <w:p>
      <w:pPr>
        <w:spacing w:line="600" w:lineRule="exact"/>
        <w:ind w:firstLine="643" w:firstLineChars="200"/>
        <w:rPr>
          <w:rFonts w:hint="eastAsia" w:ascii="宋体" w:hAnsi="宋体" w:cs="宋体"/>
          <w:sz w:val="30"/>
          <w:szCs w:val="30"/>
        </w:rPr>
      </w:pPr>
      <w:r>
        <w:rPr>
          <w:rFonts w:hint="eastAsia" w:ascii="宋体" w:hAnsi="宋体" w:cs="宋体"/>
          <w:b/>
          <w:sz w:val="32"/>
        </w:rPr>
        <w:t>5、</w:t>
      </w:r>
      <w:r>
        <w:rPr>
          <w:rFonts w:hint="eastAsia" w:ascii="宋体" w:hAnsi="宋体" w:cs="宋体"/>
          <w:b/>
          <w:bCs/>
          <w:sz w:val="30"/>
          <w:szCs w:val="30"/>
        </w:rPr>
        <w:t>强化财政职能，提升财政管理水平。</w:t>
      </w:r>
      <w:r>
        <w:rPr>
          <w:rFonts w:hint="eastAsia" w:ascii="宋体" w:hAnsi="宋体" w:cs="宋体"/>
          <w:sz w:val="30"/>
          <w:szCs w:val="30"/>
        </w:rPr>
        <w:t>一是完善政府采购预算编制，强化政府采购监督。完成政府采购备案手续1083笔，采购资金132170.8万元，节约资金2421.4万元，二是全面加强财政性投资项目管理，进一步提高评审质量。全年评审项目186个，其中预算评审项目174个，决算评审项目12个，送审12.65亿元，审定10.47亿元，审减2.18亿元，综合审减率17.23%。三是扩大预算绩效目标管理范围，推进财政重点绩效评价，全面实施绩效管理。我市纳入目标管理的项目共217个，金额约10亿元。财政重点绩效项目15个，涉及资金约4.2亿元。四是加强国有资产管理。行政事业单位实际新增资产893.07万元，处置报废资产1713.20万元，调拨资产7713.11 万元，上缴资产处置收入41万元。五是落实减税降费政策，减免4828万元 。其中：减免企业税款4684万元，疫情防控期间减免租金128万元，城市道路占道费及其他减免16万元；六是建立直达资金机制，加快财政资金拨付使用效率。全年收到上级下达直达资金28484.79万元，分配率100%。已支出27034.38万元，支出进度94.9%。七是继续加强“三公”管理，压减一般性支出。全年“三公”经费支出646万元，比上年减少2万元。</w:t>
      </w:r>
    </w:p>
    <w:p>
      <w:pPr>
        <w:spacing w:line="600" w:lineRule="exact"/>
        <w:ind w:firstLine="640"/>
        <w:rPr>
          <w:rFonts w:ascii="宋体" w:hAnsi="宋体" w:cs="宋体"/>
          <w:sz w:val="32"/>
        </w:rPr>
      </w:pPr>
      <w:r>
        <w:rPr>
          <w:rFonts w:hint="eastAsia" w:ascii="宋体" w:hAnsi="宋体" w:cs="宋体"/>
          <w:sz w:val="30"/>
          <w:szCs w:val="30"/>
        </w:rPr>
        <w:t>6、</w:t>
      </w:r>
      <w:r>
        <w:rPr>
          <w:rFonts w:hint="eastAsia" w:ascii="宋体" w:hAnsi="宋体" w:cs="宋体"/>
          <w:b/>
          <w:bCs/>
          <w:sz w:val="32"/>
        </w:rPr>
        <w:t>加强地方政府债务及财政暂付款管理。</w:t>
      </w:r>
      <w:r>
        <w:rPr>
          <w:rFonts w:hint="eastAsia" w:ascii="宋体" w:hAnsi="宋体" w:cs="宋体"/>
          <w:sz w:val="32"/>
        </w:rPr>
        <w:t>我市政府性债务余额11.13亿元，未超政府债务限额11.98亿元。按期偿还到期的政府性债务利息，今年偿还地方政府债券本金8500万元，利息3518万元，合计12018万元。</w:t>
      </w:r>
      <w:r>
        <w:rPr>
          <w:rFonts w:hint="eastAsia" w:ascii="宋体" w:hAnsi="宋体" w:cs="宋体"/>
          <w:bCs/>
          <w:sz w:val="32"/>
        </w:rPr>
        <w:t>一是</w:t>
      </w:r>
      <w:r>
        <w:rPr>
          <w:rFonts w:hint="eastAsia" w:ascii="宋体" w:hAnsi="宋体" w:cs="宋体"/>
          <w:sz w:val="32"/>
        </w:rPr>
        <w:t>强化政府性债务管理，防范化解政府债务风险，强化底线思维，坚决遏制隐性债务增量，加强违法违规举债的责任追究；二是实施政府债务及隐性债务监测月报制度，定期排查风险，加强债务率风险监控；三是加强对财政暂付款的管理，根据分年度化解计划，及时清理财政暂付款项，消化暂付款4449万元。</w:t>
      </w:r>
    </w:p>
    <w:p>
      <w:pPr>
        <w:spacing w:line="600" w:lineRule="exact"/>
        <w:ind w:firstLine="640"/>
        <w:rPr>
          <w:rFonts w:ascii="黑体" w:hAnsi="黑体" w:eastAsia="黑体" w:cs="黑体"/>
          <w:sz w:val="32"/>
        </w:rPr>
      </w:pPr>
      <w:r>
        <w:rPr>
          <w:rFonts w:hint="eastAsia" w:ascii="黑体" w:hAnsi="黑体" w:eastAsia="黑体" w:cs="黑体"/>
          <w:sz w:val="32"/>
        </w:rPr>
        <w:t>八、财政供养人员情况</w:t>
      </w:r>
    </w:p>
    <w:p>
      <w:pPr>
        <w:spacing w:line="600" w:lineRule="exact"/>
        <w:ind w:firstLine="640" w:firstLineChars="200"/>
        <w:rPr>
          <w:rFonts w:ascii="宋体" w:hAnsi="宋体" w:cs="宋体"/>
          <w:sz w:val="32"/>
        </w:rPr>
      </w:pPr>
      <w:r>
        <w:rPr>
          <w:rFonts w:ascii="宋体" w:hAnsi="宋体" w:cs="宋体"/>
          <w:sz w:val="32"/>
        </w:rPr>
        <w:t>2020</w:t>
      </w:r>
      <w:r>
        <w:rPr>
          <w:rFonts w:hint="eastAsia" w:ascii="宋体" w:hAnsi="宋体" w:cs="宋体"/>
          <w:sz w:val="32"/>
        </w:rPr>
        <w:t>年财政供养人员为</w:t>
      </w:r>
      <w:r>
        <w:rPr>
          <w:rFonts w:ascii="宋体" w:hAnsi="宋体" w:cs="宋体"/>
          <w:sz w:val="32"/>
        </w:rPr>
        <w:t>9799</w:t>
      </w:r>
      <w:r>
        <w:rPr>
          <w:rFonts w:hint="eastAsia" w:ascii="宋体" w:hAnsi="宋体" w:cs="宋体"/>
          <w:sz w:val="32"/>
        </w:rPr>
        <w:t>人，比上年</w:t>
      </w:r>
      <w:r>
        <w:rPr>
          <w:rFonts w:ascii="宋体" w:hAnsi="宋体" w:cs="宋体"/>
          <w:sz w:val="32"/>
        </w:rPr>
        <w:t>9817</w:t>
      </w:r>
      <w:r>
        <w:rPr>
          <w:rFonts w:hint="eastAsia" w:ascii="宋体" w:hAnsi="宋体" w:cs="宋体"/>
          <w:sz w:val="32"/>
        </w:rPr>
        <w:t>人减少</w:t>
      </w:r>
      <w:r>
        <w:rPr>
          <w:rFonts w:ascii="宋体" w:hAnsi="宋体" w:cs="宋体"/>
          <w:sz w:val="32"/>
        </w:rPr>
        <w:t>18</w:t>
      </w:r>
      <w:r>
        <w:rPr>
          <w:rFonts w:hint="eastAsia" w:ascii="宋体" w:hAnsi="宋体" w:cs="宋体"/>
          <w:sz w:val="32"/>
        </w:rPr>
        <w:t>人。</w:t>
      </w:r>
    </w:p>
    <w:p>
      <w:pPr>
        <w:spacing w:line="600" w:lineRule="exact"/>
        <w:ind w:firstLine="640" w:firstLineChars="200"/>
        <w:rPr>
          <w:rFonts w:ascii="宋体" w:hAnsi="宋体" w:cs="宋体"/>
          <w:sz w:val="32"/>
        </w:rPr>
      </w:pPr>
      <w:r>
        <w:rPr>
          <w:rFonts w:hint="eastAsia" w:ascii="宋体" w:hAnsi="宋体" w:cs="宋体"/>
          <w:sz w:val="32"/>
        </w:rPr>
        <w:t>其中：在职</w:t>
      </w:r>
      <w:r>
        <w:rPr>
          <w:rFonts w:ascii="宋体" w:hAnsi="宋体" w:cs="宋体"/>
          <w:sz w:val="32"/>
        </w:rPr>
        <w:t>9712</w:t>
      </w:r>
      <w:r>
        <w:rPr>
          <w:rFonts w:hint="eastAsia" w:ascii="宋体" w:hAnsi="宋体" w:cs="宋体"/>
          <w:sz w:val="32"/>
        </w:rPr>
        <w:t>人, 比上年</w:t>
      </w:r>
      <w:r>
        <w:rPr>
          <w:rFonts w:ascii="宋体" w:hAnsi="宋体" w:cs="宋体"/>
          <w:sz w:val="32"/>
        </w:rPr>
        <w:t>9719</w:t>
      </w:r>
      <w:r>
        <w:rPr>
          <w:rFonts w:hint="eastAsia" w:ascii="宋体" w:hAnsi="宋体" w:cs="宋体"/>
          <w:sz w:val="32"/>
        </w:rPr>
        <w:t>人减少</w:t>
      </w:r>
      <w:r>
        <w:rPr>
          <w:rFonts w:ascii="宋体" w:hAnsi="宋体" w:cs="宋体"/>
          <w:sz w:val="32"/>
        </w:rPr>
        <w:t>7</w:t>
      </w:r>
      <w:r>
        <w:rPr>
          <w:rFonts w:hint="eastAsia" w:ascii="宋体" w:hAnsi="宋体" w:cs="宋体"/>
          <w:sz w:val="32"/>
        </w:rPr>
        <w:t>人；离休</w:t>
      </w:r>
      <w:r>
        <w:rPr>
          <w:rFonts w:ascii="宋体" w:hAnsi="宋体" w:cs="宋体"/>
          <w:sz w:val="32"/>
        </w:rPr>
        <w:t>65</w:t>
      </w:r>
      <w:r>
        <w:rPr>
          <w:rFonts w:hint="eastAsia" w:ascii="宋体" w:hAnsi="宋体" w:cs="宋体"/>
          <w:sz w:val="32"/>
        </w:rPr>
        <w:t>人，比上年</w:t>
      </w:r>
      <w:r>
        <w:rPr>
          <w:rFonts w:ascii="宋体" w:hAnsi="宋体" w:cs="宋体"/>
          <w:sz w:val="32"/>
        </w:rPr>
        <w:t>75</w:t>
      </w:r>
      <w:r>
        <w:rPr>
          <w:rFonts w:hint="eastAsia" w:ascii="宋体" w:hAnsi="宋体" w:cs="宋体"/>
          <w:sz w:val="32"/>
        </w:rPr>
        <w:t>人减少</w:t>
      </w:r>
      <w:r>
        <w:rPr>
          <w:rFonts w:ascii="宋体" w:hAnsi="宋体" w:cs="宋体"/>
          <w:sz w:val="32"/>
        </w:rPr>
        <w:t>10</w:t>
      </w:r>
      <w:r>
        <w:rPr>
          <w:rFonts w:hint="eastAsia" w:ascii="宋体" w:hAnsi="宋体" w:cs="宋体"/>
          <w:sz w:val="32"/>
        </w:rPr>
        <w:t>人；退休</w:t>
      </w:r>
      <w:r>
        <w:rPr>
          <w:rFonts w:ascii="宋体" w:hAnsi="宋体" w:cs="宋体"/>
          <w:sz w:val="32"/>
        </w:rPr>
        <w:t>22</w:t>
      </w:r>
      <w:r>
        <w:rPr>
          <w:rFonts w:hint="eastAsia" w:ascii="宋体" w:hAnsi="宋体" w:cs="宋体"/>
          <w:sz w:val="32"/>
        </w:rPr>
        <w:t>人，比上年</w:t>
      </w:r>
      <w:r>
        <w:rPr>
          <w:rFonts w:ascii="宋体" w:hAnsi="宋体" w:cs="宋体"/>
          <w:sz w:val="32"/>
        </w:rPr>
        <w:t>23</w:t>
      </w:r>
      <w:r>
        <w:rPr>
          <w:rFonts w:hint="eastAsia" w:ascii="宋体" w:hAnsi="宋体" w:cs="宋体"/>
          <w:sz w:val="32"/>
        </w:rPr>
        <w:t>人减少</w:t>
      </w:r>
      <w:r>
        <w:rPr>
          <w:rFonts w:ascii="宋体" w:hAnsi="宋体" w:cs="宋体"/>
          <w:sz w:val="32"/>
        </w:rPr>
        <w:t>1</w:t>
      </w:r>
      <w:r>
        <w:rPr>
          <w:rFonts w:hint="eastAsia" w:ascii="宋体" w:hAnsi="宋体" w:cs="宋体"/>
          <w:sz w:val="32"/>
        </w:rPr>
        <w:t>人。</w:t>
      </w:r>
    </w:p>
    <w:p>
      <w:pPr>
        <w:spacing w:line="600" w:lineRule="exact"/>
        <w:ind w:firstLine="640" w:firstLineChars="200"/>
        <w:rPr>
          <w:rFonts w:ascii="宋体" w:hAnsi="宋体" w:cs="宋体"/>
          <w:sz w:val="32"/>
        </w:rPr>
      </w:pPr>
      <w:r>
        <w:rPr>
          <w:rFonts w:hint="eastAsia" w:ascii="宋体" w:hAnsi="宋体" w:cs="宋体"/>
          <w:sz w:val="32"/>
        </w:rPr>
        <w:t>主要增减因素是：</w:t>
      </w:r>
    </w:p>
    <w:p>
      <w:pPr>
        <w:spacing w:line="600" w:lineRule="exact"/>
        <w:ind w:firstLine="640" w:firstLineChars="200"/>
        <w:rPr>
          <w:rFonts w:ascii="宋体" w:hAnsi="宋体" w:cs="宋体"/>
          <w:sz w:val="32"/>
        </w:rPr>
      </w:pPr>
      <w:r>
        <w:rPr>
          <w:rFonts w:ascii="宋体" w:hAnsi="宋体" w:cs="宋体"/>
          <w:sz w:val="32"/>
        </w:rPr>
        <w:t>1</w:t>
      </w:r>
      <w:r>
        <w:rPr>
          <w:rFonts w:hint="eastAsia" w:ascii="宋体" w:hAnsi="宋体" w:cs="宋体"/>
          <w:sz w:val="32"/>
        </w:rPr>
        <w:t>、</w:t>
      </w:r>
      <w:r>
        <w:rPr>
          <w:rFonts w:ascii="宋体" w:hAnsi="宋体" w:cs="宋体"/>
          <w:sz w:val="32"/>
        </w:rPr>
        <w:t>2020</w:t>
      </w:r>
      <w:r>
        <w:rPr>
          <w:rFonts w:hint="eastAsia" w:ascii="宋体" w:hAnsi="宋体" w:cs="宋体"/>
          <w:sz w:val="32"/>
        </w:rPr>
        <w:t>年新增</w:t>
      </w:r>
      <w:r>
        <w:rPr>
          <w:rFonts w:ascii="宋体" w:hAnsi="宋体" w:cs="宋体"/>
          <w:sz w:val="32"/>
        </w:rPr>
        <w:t>380</w:t>
      </w:r>
      <w:r>
        <w:rPr>
          <w:rFonts w:hint="eastAsia" w:ascii="宋体" w:hAnsi="宋体" w:cs="宋体"/>
          <w:sz w:val="32"/>
        </w:rPr>
        <w:t>人。其中：公开招聘</w:t>
      </w:r>
      <w:r>
        <w:rPr>
          <w:rFonts w:ascii="宋体" w:hAnsi="宋体" w:cs="宋体"/>
          <w:sz w:val="32"/>
        </w:rPr>
        <w:t>184</w:t>
      </w:r>
      <w:r>
        <w:rPr>
          <w:rFonts w:hint="eastAsia" w:ascii="宋体" w:hAnsi="宋体" w:cs="宋体"/>
          <w:sz w:val="32"/>
        </w:rPr>
        <w:t>人，退伍军人安置</w:t>
      </w:r>
      <w:r>
        <w:rPr>
          <w:rFonts w:ascii="宋体" w:hAnsi="宋体" w:cs="宋体"/>
          <w:sz w:val="32"/>
        </w:rPr>
        <w:t>21</w:t>
      </w:r>
      <w:r>
        <w:rPr>
          <w:rFonts w:hint="eastAsia" w:ascii="宋体" w:hAnsi="宋体" w:cs="宋体"/>
          <w:sz w:val="32"/>
        </w:rPr>
        <w:t>人，外县调入</w:t>
      </w:r>
      <w:r>
        <w:rPr>
          <w:rFonts w:ascii="宋体" w:hAnsi="宋体" w:cs="宋体"/>
          <w:sz w:val="32"/>
        </w:rPr>
        <w:t>27</w:t>
      </w:r>
      <w:r>
        <w:rPr>
          <w:rFonts w:hint="eastAsia" w:ascii="宋体" w:hAnsi="宋体" w:cs="宋体"/>
          <w:sz w:val="32"/>
        </w:rPr>
        <w:t>人，市政设施服务中心</w:t>
      </w:r>
      <w:r>
        <w:rPr>
          <w:rFonts w:ascii="宋体" w:hAnsi="宋体" w:cs="宋体"/>
          <w:sz w:val="32"/>
        </w:rPr>
        <w:t>78</w:t>
      </w:r>
      <w:r>
        <w:rPr>
          <w:rFonts w:hint="eastAsia" w:ascii="宋体" w:hAnsi="宋体" w:cs="宋体"/>
          <w:sz w:val="32"/>
        </w:rPr>
        <w:t>人，道路建设服务中心</w:t>
      </w:r>
      <w:r>
        <w:rPr>
          <w:rFonts w:ascii="宋体" w:hAnsi="宋体" w:cs="宋体"/>
          <w:sz w:val="32"/>
        </w:rPr>
        <w:t>41</w:t>
      </w:r>
      <w:r>
        <w:rPr>
          <w:rFonts w:hint="eastAsia" w:ascii="宋体" w:hAnsi="宋体" w:cs="宋体"/>
          <w:sz w:val="32"/>
        </w:rPr>
        <w:t>人，盐业服务中心</w:t>
      </w:r>
      <w:r>
        <w:rPr>
          <w:rFonts w:ascii="宋体" w:hAnsi="宋体" w:cs="宋体"/>
          <w:sz w:val="32"/>
        </w:rPr>
        <w:t>9</w:t>
      </w:r>
      <w:r>
        <w:rPr>
          <w:rFonts w:hint="eastAsia" w:ascii="宋体" w:hAnsi="宋体" w:cs="宋体"/>
          <w:sz w:val="32"/>
        </w:rPr>
        <w:t>人，自收自支转隶</w:t>
      </w:r>
      <w:r>
        <w:rPr>
          <w:rFonts w:ascii="宋体" w:hAnsi="宋体" w:cs="宋体"/>
          <w:sz w:val="32"/>
        </w:rPr>
        <w:t>12</w:t>
      </w:r>
      <w:r>
        <w:rPr>
          <w:rFonts w:hint="eastAsia" w:ascii="宋体" w:hAnsi="宋体" w:cs="宋体"/>
          <w:sz w:val="32"/>
        </w:rPr>
        <w:t>人（普救寺转隶行政审批局变全额</w:t>
      </w:r>
      <w:r>
        <w:rPr>
          <w:rFonts w:ascii="宋体" w:hAnsi="宋体" w:cs="宋体"/>
          <w:sz w:val="32"/>
        </w:rPr>
        <w:t>1</w:t>
      </w:r>
      <w:r>
        <w:rPr>
          <w:rFonts w:hint="eastAsia" w:ascii="宋体" w:hAnsi="宋体" w:cs="宋体"/>
          <w:sz w:val="32"/>
        </w:rPr>
        <w:t>人、粮库转隶经济开发区变全额</w:t>
      </w:r>
      <w:r>
        <w:rPr>
          <w:rFonts w:ascii="宋体" w:hAnsi="宋体" w:cs="宋体"/>
          <w:sz w:val="32"/>
        </w:rPr>
        <w:t>1</w:t>
      </w:r>
      <w:r>
        <w:rPr>
          <w:rFonts w:hint="eastAsia" w:ascii="宋体" w:hAnsi="宋体" w:cs="宋体"/>
          <w:sz w:val="32"/>
        </w:rPr>
        <w:t>人、温流水转隶林业局变差额</w:t>
      </w:r>
      <w:r>
        <w:rPr>
          <w:rFonts w:ascii="宋体" w:hAnsi="宋体" w:cs="宋体"/>
          <w:sz w:val="32"/>
        </w:rPr>
        <w:t>10</w:t>
      </w:r>
      <w:r>
        <w:rPr>
          <w:rFonts w:hint="eastAsia" w:ascii="宋体" w:hAnsi="宋体" w:cs="宋体"/>
          <w:sz w:val="32"/>
        </w:rPr>
        <w:t>人），政策性</w:t>
      </w:r>
      <w:r>
        <w:rPr>
          <w:rFonts w:ascii="宋体" w:hAnsi="宋体" w:cs="宋体"/>
          <w:sz w:val="32"/>
        </w:rPr>
        <w:t>4</w:t>
      </w:r>
      <w:r>
        <w:rPr>
          <w:rFonts w:hint="eastAsia" w:ascii="宋体" w:hAnsi="宋体" w:cs="宋体"/>
          <w:sz w:val="32"/>
        </w:rPr>
        <w:t>人（市医院援鄂护士</w:t>
      </w:r>
      <w:r>
        <w:rPr>
          <w:rFonts w:ascii="宋体" w:hAnsi="宋体" w:cs="宋体"/>
          <w:sz w:val="32"/>
        </w:rPr>
        <w:t>3</w:t>
      </w:r>
      <w:r>
        <w:rPr>
          <w:rFonts w:hint="eastAsia" w:ascii="宋体" w:hAnsi="宋体" w:cs="宋体"/>
          <w:sz w:val="32"/>
        </w:rPr>
        <w:t>人、张营镇蹲苗计划</w:t>
      </w:r>
      <w:r>
        <w:rPr>
          <w:rFonts w:ascii="宋体" w:hAnsi="宋体" w:cs="宋体"/>
          <w:sz w:val="32"/>
        </w:rPr>
        <w:t>1</w:t>
      </w:r>
      <w:r>
        <w:rPr>
          <w:rFonts w:hint="eastAsia" w:ascii="宋体" w:hAnsi="宋体" w:cs="宋体"/>
          <w:sz w:val="32"/>
        </w:rPr>
        <w:t>人），大学生分配</w:t>
      </w:r>
      <w:r>
        <w:rPr>
          <w:rFonts w:ascii="宋体" w:hAnsi="宋体" w:cs="宋体"/>
          <w:sz w:val="32"/>
        </w:rPr>
        <w:t>2</w:t>
      </w:r>
      <w:r>
        <w:rPr>
          <w:rFonts w:hint="eastAsia" w:ascii="宋体" w:hAnsi="宋体" w:cs="宋体"/>
          <w:sz w:val="32"/>
        </w:rPr>
        <w:t>人（少体校</w:t>
      </w:r>
      <w:r>
        <w:rPr>
          <w:rFonts w:ascii="宋体" w:hAnsi="宋体" w:cs="宋体"/>
          <w:sz w:val="32"/>
        </w:rPr>
        <w:t>1</w:t>
      </w:r>
      <w:r>
        <w:rPr>
          <w:rFonts w:hint="eastAsia" w:ascii="宋体" w:hAnsi="宋体" w:cs="宋体"/>
          <w:sz w:val="32"/>
        </w:rPr>
        <w:t>人、国有林场</w:t>
      </w:r>
      <w:r>
        <w:rPr>
          <w:rFonts w:ascii="宋体" w:hAnsi="宋体" w:cs="宋体"/>
          <w:sz w:val="32"/>
        </w:rPr>
        <w:t>1</w:t>
      </w:r>
      <w:r>
        <w:rPr>
          <w:rFonts w:hint="eastAsia" w:ascii="宋体" w:hAnsi="宋体" w:cs="宋体"/>
          <w:sz w:val="32"/>
        </w:rPr>
        <w:t>人），定向生</w:t>
      </w:r>
      <w:r>
        <w:rPr>
          <w:rFonts w:ascii="宋体" w:hAnsi="宋体" w:cs="宋体"/>
          <w:sz w:val="32"/>
        </w:rPr>
        <w:t>1</w:t>
      </w:r>
      <w:r>
        <w:rPr>
          <w:rFonts w:hint="eastAsia" w:ascii="宋体" w:hAnsi="宋体" w:cs="宋体"/>
          <w:sz w:val="32"/>
        </w:rPr>
        <w:t>人（虞乡卫生院），差额选调</w:t>
      </w:r>
      <w:r>
        <w:rPr>
          <w:rFonts w:ascii="宋体" w:hAnsi="宋体" w:cs="宋体"/>
          <w:sz w:val="32"/>
        </w:rPr>
        <w:t>1</w:t>
      </w:r>
      <w:r>
        <w:rPr>
          <w:rFonts w:hint="eastAsia" w:ascii="宋体" w:hAnsi="宋体" w:cs="宋体"/>
          <w:sz w:val="32"/>
        </w:rPr>
        <w:t>人（棉花原种场转隶行政审批局，差额变全额）。</w:t>
      </w:r>
    </w:p>
    <w:p>
      <w:pPr>
        <w:spacing w:line="600" w:lineRule="exact"/>
        <w:ind w:firstLine="640" w:firstLineChars="200"/>
        <w:rPr>
          <w:rFonts w:ascii="宋体" w:hAnsi="宋体" w:cs="宋体"/>
          <w:sz w:val="32"/>
        </w:rPr>
      </w:pPr>
      <w:r>
        <w:rPr>
          <w:rFonts w:ascii="宋体" w:hAnsi="宋体" w:cs="宋体"/>
          <w:sz w:val="32"/>
        </w:rPr>
        <w:t>2</w:t>
      </w:r>
      <w:r>
        <w:rPr>
          <w:rFonts w:hint="eastAsia" w:ascii="宋体" w:hAnsi="宋体" w:cs="宋体"/>
          <w:sz w:val="32"/>
        </w:rPr>
        <w:t>、在职减少</w:t>
      </w:r>
      <w:r>
        <w:rPr>
          <w:rFonts w:ascii="宋体" w:hAnsi="宋体" w:cs="宋体"/>
          <w:sz w:val="32"/>
        </w:rPr>
        <w:t>387</w:t>
      </w:r>
      <w:r>
        <w:rPr>
          <w:rFonts w:hint="eastAsia" w:ascii="宋体" w:hAnsi="宋体" w:cs="宋体"/>
          <w:sz w:val="32"/>
        </w:rPr>
        <w:t>人。其中：退休</w:t>
      </w:r>
      <w:r>
        <w:rPr>
          <w:rFonts w:ascii="宋体" w:hAnsi="宋体" w:cs="宋体"/>
          <w:sz w:val="32"/>
        </w:rPr>
        <w:t>319</w:t>
      </w:r>
      <w:r>
        <w:rPr>
          <w:rFonts w:hint="eastAsia" w:ascii="宋体" w:hAnsi="宋体" w:cs="宋体"/>
          <w:sz w:val="32"/>
        </w:rPr>
        <w:t>人，调出</w:t>
      </w:r>
      <w:r>
        <w:rPr>
          <w:rFonts w:ascii="宋体" w:hAnsi="宋体" w:cs="宋体"/>
          <w:sz w:val="32"/>
        </w:rPr>
        <w:t>29</w:t>
      </w:r>
      <w:r>
        <w:rPr>
          <w:rFonts w:hint="eastAsia" w:ascii="宋体" w:hAnsi="宋体" w:cs="宋体"/>
          <w:sz w:val="32"/>
        </w:rPr>
        <w:t>人，辞职</w:t>
      </w:r>
      <w:r>
        <w:rPr>
          <w:rFonts w:ascii="宋体" w:hAnsi="宋体" w:cs="宋体"/>
          <w:sz w:val="32"/>
        </w:rPr>
        <w:t>17</w:t>
      </w:r>
      <w:r>
        <w:rPr>
          <w:rFonts w:hint="eastAsia" w:ascii="宋体" w:hAnsi="宋体" w:cs="宋体"/>
          <w:sz w:val="32"/>
        </w:rPr>
        <w:t>人，死亡</w:t>
      </w:r>
      <w:r>
        <w:rPr>
          <w:rFonts w:ascii="宋体" w:hAnsi="宋体" w:cs="宋体"/>
          <w:sz w:val="32"/>
        </w:rPr>
        <w:t>17</w:t>
      </w:r>
      <w:r>
        <w:rPr>
          <w:rFonts w:hint="eastAsia" w:ascii="宋体" w:hAnsi="宋体" w:cs="宋体"/>
          <w:sz w:val="32"/>
        </w:rPr>
        <w:t>人，开除</w:t>
      </w:r>
      <w:r>
        <w:rPr>
          <w:rFonts w:ascii="宋体" w:hAnsi="宋体" w:cs="宋体"/>
          <w:sz w:val="32"/>
        </w:rPr>
        <w:t>5</w:t>
      </w:r>
      <w:r>
        <w:rPr>
          <w:rFonts w:hint="eastAsia" w:ascii="宋体" w:hAnsi="宋体" w:cs="宋体"/>
          <w:sz w:val="32"/>
        </w:rPr>
        <w:t>人。</w:t>
      </w:r>
    </w:p>
    <w:p>
      <w:pPr>
        <w:spacing w:line="600" w:lineRule="exact"/>
        <w:ind w:firstLine="640" w:firstLineChars="200"/>
        <w:rPr>
          <w:rFonts w:ascii="宋体" w:hAnsi="宋体" w:cs="宋体"/>
          <w:sz w:val="32"/>
        </w:rPr>
      </w:pPr>
      <w:r>
        <w:rPr>
          <w:rFonts w:ascii="宋体" w:hAnsi="宋体" w:cs="宋体"/>
          <w:sz w:val="32"/>
        </w:rPr>
        <w:t>3</w:t>
      </w:r>
      <w:r>
        <w:rPr>
          <w:rFonts w:hint="eastAsia" w:ascii="宋体" w:hAnsi="宋体" w:cs="宋体"/>
          <w:sz w:val="32"/>
        </w:rPr>
        <w:t>、离休减少</w:t>
      </w:r>
      <w:r>
        <w:rPr>
          <w:rFonts w:ascii="宋体" w:hAnsi="宋体" w:cs="宋体"/>
          <w:sz w:val="32"/>
        </w:rPr>
        <w:t>10</w:t>
      </w:r>
      <w:r>
        <w:rPr>
          <w:rFonts w:hint="eastAsia" w:ascii="宋体" w:hAnsi="宋体" w:cs="宋体"/>
          <w:sz w:val="32"/>
        </w:rPr>
        <w:t>人（其中死亡</w:t>
      </w:r>
      <w:r>
        <w:rPr>
          <w:rFonts w:ascii="宋体" w:hAnsi="宋体" w:cs="宋体"/>
          <w:sz w:val="32"/>
        </w:rPr>
        <w:t>10</w:t>
      </w:r>
      <w:r>
        <w:rPr>
          <w:rFonts w:hint="eastAsia" w:ascii="宋体" w:hAnsi="宋体" w:cs="宋体"/>
          <w:sz w:val="32"/>
        </w:rPr>
        <w:t>人）。</w:t>
      </w:r>
    </w:p>
    <w:p>
      <w:pPr>
        <w:spacing w:line="600" w:lineRule="exact"/>
        <w:ind w:firstLine="640" w:firstLineChars="200"/>
        <w:rPr>
          <w:rFonts w:ascii="宋体" w:hAnsi="宋体" w:cs="宋体"/>
          <w:sz w:val="32"/>
        </w:rPr>
      </w:pPr>
      <w:r>
        <w:rPr>
          <w:rFonts w:ascii="宋体" w:hAnsi="宋体" w:cs="宋体"/>
          <w:sz w:val="32"/>
        </w:rPr>
        <w:t>4</w:t>
      </w:r>
      <w:r>
        <w:rPr>
          <w:rFonts w:hint="eastAsia" w:ascii="宋体" w:hAnsi="宋体" w:cs="宋体"/>
          <w:sz w:val="32"/>
        </w:rPr>
        <w:t>、退休减少</w:t>
      </w:r>
      <w:r>
        <w:rPr>
          <w:rFonts w:ascii="宋体" w:hAnsi="宋体" w:cs="宋体"/>
          <w:sz w:val="32"/>
        </w:rPr>
        <w:t>1</w:t>
      </w:r>
      <w:r>
        <w:rPr>
          <w:rFonts w:hint="eastAsia" w:ascii="宋体" w:hAnsi="宋体" w:cs="宋体"/>
          <w:sz w:val="32"/>
        </w:rPr>
        <w:t>人。</w:t>
      </w:r>
    </w:p>
    <w:p>
      <w:pPr>
        <w:spacing w:line="600" w:lineRule="exact"/>
        <w:ind w:firstLine="640"/>
        <w:rPr>
          <w:rFonts w:ascii="黑体" w:hAnsi="黑体" w:eastAsia="黑体" w:cs="黑体"/>
          <w:sz w:val="32"/>
        </w:rPr>
      </w:pPr>
      <w:r>
        <w:rPr>
          <w:rFonts w:hint="eastAsia" w:ascii="黑体" w:hAnsi="黑体" w:eastAsia="黑体" w:cs="黑体"/>
          <w:sz w:val="32"/>
        </w:rPr>
        <w:t>九、地方政府债务情况</w:t>
      </w:r>
    </w:p>
    <w:p>
      <w:pPr>
        <w:spacing w:line="600" w:lineRule="exact"/>
        <w:ind w:firstLine="643"/>
        <w:rPr>
          <w:rFonts w:ascii="宋体" w:hAnsi="宋体" w:cs="宋体"/>
          <w:b/>
          <w:bCs/>
          <w:sz w:val="32"/>
        </w:rPr>
      </w:pPr>
      <w:r>
        <w:rPr>
          <w:rFonts w:hint="eastAsia" w:ascii="宋体" w:hAnsi="宋体" w:cs="宋体"/>
          <w:b/>
          <w:bCs/>
          <w:sz w:val="32"/>
        </w:rPr>
        <w:t>（一）2020年政府性债务总体情况</w:t>
      </w:r>
    </w:p>
    <w:p>
      <w:pPr>
        <w:spacing w:line="600" w:lineRule="exact"/>
        <w:ind w:firstLine="643"/>
        <w:rPr>
          <w:rFonts w:hint="eastAsia" w:ascii="宋体" w:hAnsi="宋体" w:cs="宋体"/>
          <w:bCs/>
          <w:sz w:val="32"/>
        </w:rPr>
      </w:pPr>
      <w:r>
        <w:rPr>
          <w:rFonts w:hint="eastAsia" w:ascii="宋体" w:hAnsi="宋体" w:cs="宋体"/>
          <w:bCs/>
          <w:sz w:val="32"/>
        </w:rPr>
        <w:t>2020年末，我市政府债务余额111300万元，未超过2020年政府债务限额119800万元，其中，一般债务59000万元，专项债务52300万元。政府负有担保责任的债务2671.45万元。我市地方政府债务余额未超过债务限额，风险总体可控。</w:t>
      </w:r>
    </w:p>
    <w:p>
      <w:pPr>
        <w:spacing w:line="600" w:lineRule="exact"/>
        <w:ind w:firstLine="643"/>
        <w:rPr>
          <w:rFonts w:ascii="宋体" w:hAnsi="宋体" w:cs="宋体"/>
          <w:bCs/>
          <w:sz w:val="32"/>
        </w:rPr>
      </w:pPr>
      <w:r>
        <w:rPr>
          <w:rFonts w:hint="eastAsia" w:ascii="宋体" w:hAnsi="宋体" w:cs="宋体"/>
          <w:b/>
          <w:bCs/>
          <w:sz w:val="32"/>
        </w:rPr>
        <w:t>（二）新增债券资金使用情况</w:t>
      </w:r>
    </w:p>
    <w:p>
      <w:pPr>
        <w:spacing w:line="600" w:lineRule="exact"/>
        <w:ind w:firstLine="643"/>
        <w:rPr>
          <w:rFonts w:ascii="宋体" w:hAnsi="宋体" w:cs="宋体"/>
          <w:bCs/>
          <w:sz w:val="32"/>
        </w:rPr>
      </w:pPr>
      <w:r>
        <w:rPr>
          <w:rFonts w:hint="eastAsia" w:ascii="宋体" w:hAnsi="宋体" w:cs="宋体"/>
          <w:bCs/>
          <w:sz w:val="32"/>
        </w:rPr>
        <w:t>今年我市收到上级转贷的新增债券资金24000万元，其中，新增一般债券资金15000万元，新增专项债券资金9000万元。</w:t>
      </w:r>
    </w:p>
    <w:p>
      <w:pPr>
        <w:spacing w:line="600" w:lineRule="exact"/>
        <w:ind w:firstLine="643"/>
        <w:rPr>
          <w:rFonts w:ascii="宋体" w:hAnsi="宋体" w:cs="宋体"/>
          <w:bCs/>
          <w:sz w:val="32"/>
        </w:rPr>
      </w:pPr>
      <w:r>
        <w:rPr>
          <w:rFonts w:hint="eastAsia" w:ascii="宋体" w:hAnsi="宋体" w:cs="宋体"/>
          <w:bCs/>
          <w:sz w:val="32"/>
        </w:rPr>
        <w:t>新增一般债券支出的项目是：大西高铁引道（省道小风线）建设工程3000万元，永济市城区及七个乡镇生活垃圾收运系统建设项目3000万元，永济市智慧城市建设项目1500万元，永济市餐厨垃圾处理场建设项目1500万元，永济市振兴西街排水道改建工程1500万元，永济市市区10kv线路改造工程（强电入地一期工程）1500万元，永济市粪便无害化处理场建设项目1000万元，政务服务中心配套人防工程1000万元，永济市沿黄旅游公路改建工程1000万元。</w:t>
      </w:r>
    </w:p>
    <w:p>
      <w:pPr>
        <w:spacing w:line="600" w:lineRule="exact"/>
        <w:ind w:firstLine="643"/>
        <w:rPr>
          <w:rFonts w:ascii="宋体" w:hAnsi="宋体" w:cs="宋体"/>
          <w:bCs/>
          <w:sz w:val="32"/>
        </w:rPr>
      </w:pPr>
      <w:r>
        <w:rPr>
          <w:rFonts w:hint="eastAsia" w:ascii="宋体" w:hAnsi="宋体" w:cs="宋体"/>
          <w:bCs/>
          <w:sz w:val="32"/>
        </w:rPr>
        <w:t>新增专项债券支出项目是：永济市标准化厂房建设项目8000万元，永济市中医医院室外设施及配套工程1000万元。</w:t>
      </w:r>
    </w:p>
    <w:p>
      <w:pPr>
        <w:spacing w:line="600" w:lineRule="exact"/>
        <w:ind w:firstLine="643" w:firstLineChars="200"/>
        <w:rPr>
          <w:rFonts w:ascii="宋体" w:hAnsi="宋体" w:cs="宋体"/>
          <w:b/>
          <w:bCs/>
          <w:sz w:val="32"/>
        </w:rPr>
      </w:pPr>
      <w:r>
        <w:rPr>
          <w:rFonts w:hint="eastAsia" w:ascii="宋体" w:hAnsi="宋体" w:cs="宋体"/>
          <w:b/>
          <w:bCs/>
          <w:sz w:val="32"/>
        </w:rPr>
        <w:t>（三）债券还本付息</w:t>
      </w:r>
    </w:p>
    <w:p>
      <w:pPr>
        <w:spacing w:line="600" w:lineRule="exact"/>
        <w:ind w:firstLine="643"/>
        <w:rPr>
          <w:rFonts w:hint="eastAsia" w:ascii="宋体" w:hAnsi="宋体" w:cs="宋体"/>
          <w:bCs/>
          <w:sz w:val="32"/>
        </w:rPr>
      </w:pPr>
      <w:r>
        <w:rPr>
          <w:rFonts w:hint="eastAsia" w:ascii="宋体" w:hAnsi="宋体" w:cs="宋体"/>
          <w:bCs/>
          <w:sz w:val="32"/>
        </w:rPr>
        <w:t>2020年政府债券到期本息12018.2万元，其中，一般债券到期本金3500万元，到期利息1874.65万元；专项债券到期本金5000万元，到期利息1643.55万元。到期本息已全部偿还。</w:t>
      </w:r>
    </w:p>
    <w:p>
      <w:pPr>
        <w:spacing w:line="600" w:lineRule="exact"/>
        <w:ind w:firstLine="643" w:firstLineChars="200"/>
        <w:rPr>
          <w:rFonts w:ascii="宋体" w:hAnsi="宋体" w:cs="宋体"/>
          <w:b/>
          <w:bCs/>
          <w:sz w:val="32"/>
        </w:rPr>
      </w:pPr>
      <w:r>
        <w:rPr>
          <w:rFonts w:hint="eastAsia" w:ascii="宋体" w:hAnsi="宋体" w:cs="宋体"/>
          <w:b/>
          <w:bCs/>
          <w:sz w:val="32"/>
        </w:rPr>
        <w:t>（四）抗疫特别国债资金安排情况</w:t>
      </w:r>
    </w:p>
    <w:p>
      <w:pPr>
        <w:spacing w:line="600" w:lineRule="exact"/>
        <w:ind w:firstLine="643"/>
        <w:rPr>
          <w:rFonts w:ascii="宋体" w:hAnsi="宋体" w:cs="宋体"/>
          <w:bCs/>
          <w:sz w:val="32"/>
        </w:rPr>
      </w:pPr>
      <w:r>
        <w:rPr>
          <w:rFonts w:hint="eastAsia" w:ascii="宋体" w:hAnsi="宋体" w:cs="宋体"/>
          <w:bCs/>
          <w:sz w:val="32"/>
        </w:rPr>
        <w:t>我市收到上级下达的抗疫特别国债资金5000万元，按照《抗疫特别国债管理办法》及上级对我市上报资金分配方案的审核意见，用于人民医院传染病区提升改造及完善仪器设备配置项目4000万元，医疗集团市镇村数字医疗一体化建设项目1000万元。</w:t>
      </w:r>
    </w:p>
    <w:p>
      <w:pPr>
        <w:spacing w:line="600" w:lineRule="exact"/>
        <w:ind w:firstLine="643"/>
        <w:rPr>
          <w:rFonts w:ascii="黑体" w:hAnsi="黑体" w:eastAsia="黑体" w:cs="黑体"/>
          <w:sz w:val="32"/>
        </w:rPr>
      </w:pPr>
      <w:r>
        <w:rPr>
          <w:rFonts w:hint="eastAsia" w:ascii="黑体" w:hAnsi="黑体" w:eastAsia="黑体" w:cs="黑体"/>
          <w:sz w:val="32"/>
        </w:rPr>
        <w:t>十、社保基金预算执行情况</w:t>
      </w:r>
    </w:p>
    <w:p>
      <w:pPr>
        <w:spacing w:line="600" w:lineRule="exact"/>
        <w:ind w:firstLine="640" w:firstLineChars="200"/>
        <w:rPr>
          <w:rFonts w:ascii="宋体" w:hAnsi="宋体" w:cs="宋体"/>
          <w:sz w:val="32"/>
        </w:rPr>
      </w:pPr>
      <w:r>
        <w:rPr>
          <w:rFonts w:hint="eastAsia" w:ascii="宋体" w:hAnsi="宋体" w:cs="宋体"/>
          <w:sz w:val="32"/>
        </w:rPr>
        <w:t>社保基金收入41176万元，支出39992万元，年末滚存结余36671万元。其中：机关事业单位基本养老保险基金收入27177万元，支出30825万元，年末滚存结余2139万元；城乡居民基本养老保险基金收入13999万元，支出9167万元，年末滚存结余34532万元。</w:t>
      </w:r>
    </w:p>
    <w:p>
      <w:pPr>
        <w:spacing w:line="600" w:lineRule="exact"/>
        <w:ind w:firstLine="640"/>
        <w:rPr>
          <w:rFonts w:ascii="黑体" w:hAnsi="黑体" w:eastAsia="黑体" w:cs="黑体"/>
          <w:sz w:val="32"/>
        </w:rPr>
      </w:pPr>
      <w:r>
        <w:rPr>
          <w:rFonts w:hint="eastAsia" w:ascii="黑体" w:hAnsi="黑体" w:eastAsia="黑体" w:cs="黑体"/>
          <w:sz w:val="32"/>
        </w:rPr>
        <w:t>十一、财政工作存在的困难及2021年工作重点</w:t>
      </w:r>
    </w:p>
    <w:p>
      <w:pPr>
        <w:spacing w:line="600" w:lineRule="exact"/>
        <w:ind w:firstLine="640"/>
        <w:rPr>
          <w:rFonts w:hint="eastAsia" w:ascii="宋体" w:hAnsi="宋体" w:cs="宋体"/>
          <w:sz w:val="32"/>
        </w:rPr>
      </w:pPr>
      <w:r>
        <w:rPr>
          <w:rFonts w:hint="eastAsia" w:ascii="宋体" w:hAnsi="宋体" w:cs="宋体"/>
          <w:sz w:val="32"/>
        </w:rPr>
        <w:t>2020年财政部门在向上争取资金、保障改善民生、支持经济发展等方面取得了成绩，但还存在一些困难和问题：一是我市重点税源企业经营状况较为平稳，新招商企业短期内不能达产增效，税源基础不稳固；二是保工资、保运转、保民生需求不断增加，各类保险缺口较大，政府债务还本付息及消化暂付款任务较重，收支矛盾十分突出；三是地方政府性债务管理与防范风险化解债务风险能力需进一步增强；四是有些部门过“紧日子”的意识不强，“花钱必问效”的绩效管理理念需加强。对此，我们积极面对，通过深化改革，完善机制，采取有效措施加以解决。</w:t>
      </w:r>
    </w:p>
    <w:p>
      <w:pPr>
        <w:spacing w:line="600" w:lineRule="exact"/>
        <w:ind w:firstLine="640"/>
        <w:rPr>
          <w:rFonts w:hint="eastAsia" w:ascii="宋体" w:hAnsi="宋体" w:cs="宋体"/>
          <w:sz w:val="32"/>
        </w:rPr>
      </w:pPr>
      <w:r>
        <w:rPr>
          <w:rFonts w:hint="eastAsia" w:ascii="宋体" w:hAnsi="宋体" w:cs="宋体"/>
          <w:sz w:val="32"/>
        </w:rPr>
        <w:t>做好2021年财政工作，要坚持稳中求进工作总基调，立足新发展阶段，贯彻新发展理念，支持高质量转型发展，保障和改善民生，深化财政体制改革，提升理财水平。我们要切实采取有效措施，确保全年任务的完成。</w:t>
      </w:r>
    </w:p>
    <w:p>
      <w:pPr>
        <w:spacing w:line="600" w:lineRule="exact"/>
        <w:ind w:firstLine="640"/>
        <w:rPr>
          <w:rFonts w:hint="eastAsia" w:ascii="宋体" w:hAnsi="宋体" w:cs="宋体"/>
          <w:sz w:val="32"/>
        </w:rPr>
      </w:pPr>
      <w:r>
        <w:rPr>
          <w:rFonts w:hint="eastAsia" w:ascii="宋体" w:hAnsi="宋体" w:cs="宋体"/>
          <w:sz w:val="32"/>
        </w:rPr>
        <w:t>1、强化收入征管工作，确保全年收入计划的完成。坚持积极的财政政策提质增效，落实减费降税政策，注重提高招商引资质量，积极培植新的财源。发挥财政资金扶持引导作用，统筹推进重点领域、重点产业、重点项目建设，不断优化收入结构。依法依规组织收入，加强对重点行业重点税源的监控，提高收入质量。加强财税部门协作，确保税源不流失，规范非税收入征缴，确保全年收入计划的完成。</w:t>
      </w:r>
    </w:p>
    <w:p>
      <w:pPr>
        <w:spacing w:line="600" w:lineRule="exact"/>
        <w:ind w:firstLine="640"/>
        <w:rPr>
          <w:rFonts w:hint="eastAsia" w:ascii="宋体" w:hAnsi="宋体" w:cs="宋体"/>
          <w:sz w:val="32"/>
        </w:rPr>
      </w:pPr>
      <w:r>
        <w:rPr>
          <w:rFonts w:hint="eastAsia" w:ascii="宋体" w:hAnsi="宋体" w:cs="宋体"/>
          <w:sz w:val="32"/>
        </w:rPr>
        <w:t xml:space="preserve"> 2、积极争取上级资金，全力支持经济发展。财政部门及职能部门要发挥自身优势，准确把握国家有关政策和投资重点，帮助项目实施单位向上争取资金，尽最大努力积极争取上级转移支付和专项资金，缓解县级财政压力的同时，全力支持我市经济发展。</w:t>
      </w:r>
    </w:p>
    <w:p>
      <w:pPr>
        <w:spacing w:line="600" w:lineRule="exact"/>
        <w:ind w:firstLine="640"/>
        <w:rPr>
          <w:rFonts w:hint="eastAsia" w:ascii="宋体" w:hAnsi="宋体" w:cs="宋体"/>
          <w:sz w:val="32"/>
        </w:rPr>
      </w:pPr>
      <w:r>
        <w:rPr>
          <w:rFonts w:hint="eastAsia" w:ascii="宋体" w:hAnsi="宋体" w:cs="宋体"/>
          <w:sz w:val="32"/>
        </w:rPr>
        <w:t>3、加强预算管理，做好预决算公开。认真落实《预算法实施条例》，强化预决算公开，自觉接受人大及公众监督。依托预算管理一体化系统，加快预算支出标准体系建设，提升预算管理信息化水平。加强直达资金管理，确保惠企利民。</w:t>
      </w:r>
    </w:p>
    <w:p>
      <w:pPr>
        <w:spacing w:line="600" w:lineRule="exact"/>
        <w:ind w:firstLine="640"/>
        <w:rPr>
          <w:rFonts w:hint="eastAsia" w:ascii="宋体" w:hAnsi="宋体" w:cs="宋体"/>
          <w:sz w:val="32"/>
        </w:rPr>
      </w:pPr>
      <w:r>
        <w:rPr>
          <w:rFonts w:hint="eastAsia" w:ascii="宋体" w:hAnsi="宋体" w:cs="宋体"/>
          <w:sz w:val="32"/>
        </w:rPr>
        <w:t>4、优化支出结构，全力保障改善民生。按照支出预算编制原则，落实政府过“紧日子”的要求，严控一般性支出。牢固树立底线思维，做好“三保”工作，优先安排政府债券还本付息支出及消化暂付款。切实保障和改善民生，落实好教育、医疗卫生、社会保障等方面的政策配套，做好常态化疫情防控资金保障，加大对乡村振兴、农业农村方面的支持。</w:t>
      </w:r>
    </w:p>
    <w:p>
      <w:pPr>
        <w:spacing w:line="600" w:lineRule="exact"/>
        <w:ind w:firstLine="640"/>
        <w:rPr>
          <w:rFonts w:hint="eastAsia" w:ascii="宋体" w:hAnsi="宋体" w:cs="宋体"/>
          <w:sz w:val="32"/>
        </w:rPr>
      </w:pPr>
      <w:r>
        <w:rPr>
          <w:rFonts w:hint="eastAsia" w:ascii="宋体" w:hAnsi="宋体" w:cs="宋体"/>
          <w:sz w:val="32"/>
        </w:rPr>
        <w:t xml:space="preserve"> 5、严格控制风险，加强政府债务管理。防范化解政府债务风险，在政府债务限额内，合理确定举债规模，加强对政府债务率监控，发挥政府债券资金的使用效益。健全隐性债务常态化监测机制，加强隐性债务风险管理，做好化解存量与严控增量工作。</w:t>
      </w:r>
    </w:p>
    <w:p>
      <w:pPr>
        <w:spacing w:line="600" w:lineRule="exact"/>
        <w:ind w:firstLine="640"/>
        <w:rPr>
          <w:rFonts w:hint="eastAsia" w:ascii="宋体" w:hAnsi="宋体" w:cs="宋体"/>
          <w:sz w:val="32"/>
        </w:rPr>
      </w:pPr>
      <w:r>
        <w:rPr>
          <w:rFonts w:hint="eastAsia" w:ascii="宋体" w:hAnsi="宋体" w:cs="宋体"/>
          <w:sz w:val="32"/>
        </w:rPr>
        <w:t>做好2021年的财政工作，财税部门倍感任务艰巨，责任重大。我们决心在市委的正确领导下，在市人大、政协的监督支持下，锐意进取，勇于挑战，积极做好各项财政工作，为我市经济发展提供有力支撑！</w:t>
      </w:r>
    </w:p>
    <w:p>
      <w:pPr>
        <w:wordWrap w:val="0"/>
        <w:spacing w:line="600" w:lineRule="exact"/>
        <w:ind w:firstLine="640"/>
        <w:jc w:val="right"/>
        <w:rPr>
          <w:rFonts w:hint="eastAsia" w:ascii="宋体" w:hAnsi="宋体" w:cs="宋体"/>
          <w:sz w:val="32"/>
        </w:rPr>
      </w:pPr>
    </w:p>
    <w:p>
      <w:pPr>
        <w:spacing w:line="600" w:lineRule="exact"/>
        <w:ind w:firstLine="640"/>
        <w:jc w:val="right"/>
        <w:rPr>
          <w:rFonts w:hint="eastAsia" w:ascii="宋体" w:hAnsi="宋体" w:cs="宋体"/>
          <w:sz w:val="32"/>
        </w:rPr>
      </w:pPr>
    </w:p>
    <w:p>
      <w:pPr>
        <w:spacing w:line="600" w:lineRule="exact"/>
        <w:ind w:firstLine="640"/>
        <w:jc w:val="right"/>
        <w:rPr>
          <w:rFonts w:ascii="仿宋_GB2312" w:hAnsi="仿宋" w:eastAsia="仿宋_GB2312" w:cs="仿宋"/>
          <w:sz w:val="32"/>
        </w:rPr>
      </w:pPr>
      <w:r>
        <w:rPr>
          <w:rFonts w:hint="eastAsia" w:ascii="宋体" w:hAnsi="宋体" w:cs="宋体"/>
          <w:sz w:val="32"/>
        </w:rPr>
        <w:t xml:space="preserve">2021年1月22日      </w:t>
      </w:r>
      <w:r>
        <w:rPr>
          <w:rFonts w:hint="eastAsia" w:ascii="仿宋_GB2312" w:hAnsi="仿宋" w:eastAsia="仿宋_GB2312" w:cs="仿宋"/>
          <w:sz w:val="32"/>
        </w:rPr>
        <w:t xml:space="preserve">    </w:t>
      </w:r>
    </w:p>
    <w:sectPr>
      <w:footerReference r:id="rId3" w:type="default"/>
      <w:footerReference r:id="rId4" w:type="even"/>
      <w:pgSz w:w="20580" w:h="14513" w:orient="landscape"/>
      <w:pgMar w:top="1814" w:right="1587" w:bottom="1701" w:left="2098" w:header="851" w:footer="1304" w:gutter="0"/>
      <w:pgNumType w:fmt="numberInDash"/>
      <w:cols w:space="0" w:num="1"/>
      <w:docGrid w:type="lines" w:linePitch="32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Courier New">
    <w:panose1 w:val="02070309020205020404"/>
    <w:charset w:val="00"/>
    <w:family w:val="modern"/>
    <w:pitch w:val="default"/>
    <w:sig w:usb0="E0002AFF" w:usb1="C0007843" w:usb2="00000009" w:usb3="00000000" w:csb0="400001FF" w:csb1="FFFF0000"/>
  </w:font>
  <w:font w:name="方正小标宋简体">
    <w:altName w:val="黑体"/>
    <w:panose1 w:val="03000509000000000000"/>
    <w:charset w:val="86"/>
    <w:family w:val="script"/>
    <w:pitch w:val="default"/>
    <w:sig w:usb0="00000000" w:usb1="00000000" w:usb2="00000010" w:usb3="00000000" w:csb0="00040000" w:csb1="00000000"/>
  </w:font>
  <w:font w:name="仿宋_GB2312">
    <w:altName w:val="仿宋"/>
    <w:panose1 w:val="00000000000000000000"/>
    <w:charset w:val="86"/>
    <w:family w:val="auto"/>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pPr>
    <w:r>
      <w:pict>
        <v:shape id="文本框 5" o:spid="_x0000_s2049" o:spt="202" type="#_x0000_t202" style="position:absolute;left:0pt;margin-top:0pt;height:144pt;width:144pt;mso-position-horizontal:center;mso-position-horizontal-relative:margin;mso-wrap-style:none;z-index:1024;mso-width-relative:page;mso-height-relative:page;" filled="f" o:preferrelative="t" stroked="f" coordsize="21600,21600">
          <v:path/>
          <v:fill on="f" focussize="0,0"/>
          <v:stroke on="f" joinstyle="miter"/>
          <v:imagedata o:title=""/>
          <o:lock v:ext="edit"/>
          <v:textbox inset="0mm,0mm,0mm,0mm" style="mso-fit-shape-to-text:t;">
            <w:txbxContent>
              <w:p>
                <w:pPr>
                  <w:pStyle w:val="3"/>
                  <w:rPr>
                    <w:rStyle w:val="7"/>
                    <w:sz w:val="21"/>
                    <w:szCs w:val="21"/>
                  </w:rPr>
                </w:pPr>
                <w:r>
                  <w:rPr>
                    <w:rStyle w:val="7"/>
                    <w:sz w:val="21"/>
                    <w:szCs w:val="21"/>
                  </w:rPr>
                  <w:fldChar w:fldCharType="begin"/>
                </w:r>
                <w:r>
                  <w:rPr>
                    <w:rStyle w:val="7"/>
                    <w:sz w:val="21"/>
                    <w:szCs w:val="21"/>
                  </w:rPr>
                  <w:instrText xml:space="preserve">PAGE  </w:instrText>
                </w:r>
                <w:r>
                  <w:rPr>
                    <w:rStyle w:val="7"/>
                    <w:sz w:val="21"/>
                    <w:szCs w:val="21"/>
                  </w:rPr>
                  <w:fldChar w:fldCharType="separate"/>
                </w:r>
                <w:r>
                  <w:rPr>
                    <w:rStyle w:val="7"/>
                    <w:sz w:val="21"/>
                    <w:szCs w:val="21"/>
                  </w:rPr>
                  <w:t>- 13 -</w:t>
                </w:r>
                <w:r>
                  <w:rPr>
                    <w:rStyle w:val="7"/>
                    <w:sz w:val="21"/>
                    <w:szCs w:val="21"/>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right" w:y="1"/>
      <w:rPr>
        <w:rStyle w:val="7"/>
      </w:rPr>
    </w:pPr>
    <w:r>
      <w:rPr>
        <w:rStyle w:val="7"/>
      </w:rPr>
      <w:fldChar w:fldCharType="begin"/>
    </w:r>
    <w:r>
      <w:rPr>
        <w:rStyle w:val="7"/>
      </w:rPr>
      <w:instrText xml:space="preserve">PAGE  </w:instrText>
    </w:r>
    <w:r>
      <w:rPr>
        <w:rStyle w:val="7"/>
      </w:rPr>
      <w:fldChar w:fldCharType="end"/>
    </w:r>
  </w:p>
  <w:p>
    <w:pPr>
      <w:pStyle w:val="3"/>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nforcement="0"/>
  <w:defaultTabStop w:val="420"/>
  <w:drawingGridVerticalSpacing w:val="160"/>
  <w:displayVerticalDrawingGridEvery w:val="2"/>
  <w:noPunctuationKerning w:val="1"/>
  <w:characterSpacingControl w:val="doNotCompress"/>
  <w:noLineBreaksAfter w:lang="zh-CN" w:val="$([{£¥·‘“〈《「『【〔〖〝﹙﹛﹝＄（．［｛￡￥"/>
  <w:noLineBreaksBefore w:lang="zh-CN" w:val="!%),.:;&gt;?]}¢¨°·ˇˉ―‖’”…‰′″›℃∶、。〃〉》」』】〕〗〞︶︺︾﹀﹄﹚﹜﹞！＂％＇），．：；？］｀｜｝～￠"/>
  <w:hdrShapeDefaults>
    <o:shapelayout v:ext="edit">
      <o:idmap v:ext="edit" data="2"/>
    </o:shapelayout>
  </w:hdrShapeDefaults>
  <w:compat>
    <w:spaceForUL/>
    <w:doNotLeaveBackslashAlone/>
    <w:ulTrailSpace/>
    <w:doNotExpandShiftReturn/>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500C1"/>
    <w:rsid w:val="00006975"/>
    <w:rsid w:val="00054A6E"/>
    <w:rsid w:val="0006209A"/>
    <w:rsid w:val="00085864"/>
    <w:rsid w:val="00094F7C"/>
    <w:rsid w:val="00097966"/>
    <w:rsid w:val="000A07BF"/>
    <w:rsid w:val="000A4232"/>
    <w:rsid w:val="000A5060"/>
    <w:rsid w:val="000B1B62"/>
    <w:rsid w:val="000B3057"/>
    <w:rsid w:val="000B6899"/>
    <w:rsid w:val="000F0F6B"/>
    <w:rsid w:val="00110C1E"/>
    <w:rsid w:val="0012111E"/>
    <w:rsid w:val="00131CF4"/>
    <w:rsid w:val="00132181"/>
    <w:rsid w:val="00137267"/>
    <w:rsid w:val="0014019B"/>
    <w:rsid w:val="001412D7"/>
    <w:rsid w:val="00147004"/>
    <w:rsid w:val="001500C1"/>
    <w:rsid w:val="00155919"/>
    <w:rsid w:val="001647C1"/>
    <w:rsid w:val="00191980"/>
    <w:rsid w:val="00194C69"/>
    <w:rsid w:val="001B1109"/>
    <w:rsid w:val="001B2641"/>
    <w:rsid w:val="001B620D"/>
    <w:rsid w:val="001C3669"/>
    <w:rsid w:val="001D1BF6"/>
    <w:rsid w:val="001D5E35"/>
    <w:rsid w:val="00231904"/>
    <w:rsid w:val="00243A35"/>
    <w:rsid w:val="00244252"/>
    <w:rsid w:val="002719FC"/>
    <w:rsid w:val="002763CC"/>
    <w:rsid w:val="002840B8"/>
    <w:rsid w:val="0028474C"/>
    <w:rsid w:val="002914BE"/>
    <w:rsid w:val="00291615"/>
    <w:rsid w:val="002925CD"/>
    <w:rsid w:val="00293294"/>
    <w:rsid w:val="002936D2"/>
    <w:rsid w:val="002B09A7"/>
    <w:rsid w:val="002B0DC8"/>
    <w:rsid w:val="002C269D"/>
    <w:rsid w:val="002C3833"/>
    <w:rsid w:val="002C4F1D"/>
    <w:rsid w:val="002D3E42"/>
    <w:rsid w:val="002D71F9"/>
    <w:rsid w:val="002E040B"/>
    <w:rsid w:val="00302301"/>
    <w:rsid w:val="0031322D"/>
    <w:rsid w:val="00315667"/>
    <w:rsid w:val="00335890"/>
    <w:rsid w:val="003531E1"/>
    <w:rsid w:val="003614EE"/>
    <w:rsid w:val="0036485C"/>
    <w:rsid w:val="00372AAD"/>
    <w:rsid w:val="00373C12"/>
    <w:rsid w:val="0039007D"/>
    <w:rsid w:val="00390584"/>
    <w:rsid w:val="00394058"/>
    <w:rsid w:val="00395150"/>
    <w:rsid w:val="003B41B0"/>
    <w:rsid w:val="003B7100"/>
    <w:rsid w:val="003D3633"/>
    <w:rsid w:val="003D4B91"/>
    <w:rsid w:val="003F09D8"/>
    <w:rsid w:val="003F6FB4"/>
    <w:rsid w:val="00404C8E"/>
    <w:rsid w:val="00413184"/>
    <w:rsid w:val="00416C4C"/>
    <w:rsid w:val="004236D6"/>
    <w:rsid w:val="00427FD9"/>
    <w:rsid w:val="00433C68"/>
    <w:rsid w:val="0043695C"/>
    <w:rsid w:val="00441457"/>
    <w:rsid w:val="004533B7"/>
    <w:rsid w:val="00453EB9"/>
    <w:rsid w:val="00454AC2"/>
    <w:rsid w:val="0046045E"/>
    <w:rsid w:val="0046707D"/>
    <w:rsid w:val="004674C7"/>
    <w:rsid w:val="00480A85"/>
    <w:rsid w:val="004836FC"/>
    <w:rsid w:val="00492A8C"/>
    <w:rsid w:val="004A45F0"/>
    <w:rsid w:val="004D5EFB"/>
    <w:rsid w:val="004D7FC0"/>
    <w:rsid w:val="004F25E6"/>
    <w:rsid w:val="00500F3A"/>
    <w:rsid w:val="00515100"/>
    <w:rsid w:val="00532310"/>
    <w:rsid w:val="00541227"/>
    <w:rsid w:val="00545D85"/>
    <w:rsid w:val="00547888"/>
    <w:rsid w:val="00547DF2"/>
    <w:rsid w:val="00573952"/>
    <w:rsid w:val="00575828"/>
    <w:rsid w:val="00590D97"/>
    <w:rsid w:val="005B08D1"/>
    <w:rsid w:val="005B5F0B"/>
    <w:rsid w:val="005C5AF0"/>
    <w:rsid w:val="005C6046"/>
    <w:rsid w:val="005C6C11"/>
    <w:rsid w:val="005C710C"/>
    <w:rsid w:val="005D121A"/>
    <w:rsid w:val="005D2D40"/>
    <w:rsid w:val="005D5C49"/>
    <w:rsid w:val="005D619D"/>
    <w:rsid w:val="005E4B62"/>
    <w:rsid w:val="005E7BCF"/>
    <w:rsid w:val="005F3C16"/>
    <w:rsid w:val="00613F20"/>
    <w:rsid w:val="00616A4F"/>
    <w:rsid w:val="00622ABC"/>
    <w:rsid w:val="00623A63"/>
    <w:rsid w:val="0063053E"/>
    <w:rsid w:val="00633287"/>
    <w:rsid w:val="006541BB"/>
    <w:rsid w:val="006623EA"/>
    <w:rsid w:val="00666A52"/>
    <w:rsid w:val="00667121"/>
    <w:rsid w:val="00671E50"/>
    <w:rsid w:val="0067507B"/>
    <w:rsid w:val="0068064E"/>
    <w:rsid w:val="006868A9"/>
    <w:rsid w:val="006871CD"/>
    <w:rsid w:val="006A1504"/>
    <w:rsid w:val="006A6A4E"/>
    <w:rsid w:val="006A79F4"/>
    <w:rsid w:val="006E2D8A"/>
    <w:rsid w:val="006E46D6"/>
    <w:rsid w:val="006E4B86"/>
    <w:rsid w:val="006F35F0"/>
    <w:rsid w:val="007032AE"/>
    <w:rsid w:val="00705080"/>
    <w:rsid w:val="00710E92"/>
    <w:rsid w:val="00714BAA"/>
    <w:rsid w:val="00714E42"/>
    <w:rsid w:val="00717D87"/>
    <w:rsid w:val="00721307"/>
    <w:rsid w:val="0072548A"/>
    <w:rsid w:val="007365FA"/>
    <w:rsid w:val="00742DD4"/>
    <w:rsid w:val="007467E2"/>
    <w:rsid w:val="007524EF"/>
    <w:rsid w:val="007645D2"/>
    <w:rsid w:val="00771CFA"/>
    <w:rsid w:val="00777590"/>
    <w:rsid w:val="007918F5"/>
    <w:rsid w:val="00794914"/>
    <w:rsid w:val="007C4EA6"/>
    <w:rsid w:val="007C5EC7"/>
    <w:rsid w:val="007D02B2"/>
    <w:rsid w:val="007D6CA1"/>
    <w:rsid w:val="007E3C47"/>
    <w:rsid w:val="007E50DA"/>
    <w:rsid w:val="00801AD2"/>
    <w:rsid w:val="00801C40"/>
    <w:rsid w:val="008104ED"/>
    <w:rsid w:val="008148C1"/>
    <w:rsid w:val="00827A5F"/>
    <w:rsid w:val="00851718"/>
    <w:rsid w:val="008541A6"/>
    <w:rsid w:val="00856CD3"/>
    <w:rsid w:val="0086659D"/>
    <w:rsid w:val="00893BAB"/>
    <w:rsid w:val="00895005"/>
    <w:rsid w:val="008965C7"/>
    <w:rsid w:val="008A0A3A"/>
    <w:rsid w:val="008A4960"/>
    <w:rsid w:val="008C7477"/>
    <w:rsid w:val="008D16B4"/>
    <w:rsid w:val="008D2042"/>
    <w:rsid w:val="008D24F3"/>
    <w:rsid w:val="008E3545"/>
    <w:rsid w:val="00903B78"/>
    <w:rsid w:val="00910C8D"/>
    <w:rsid w:val="009142DB"/>
    <w:rsid w:val="00932123"/>
    <w:rsid w:val="00932437"/>
    <w:rsid w:val="00935B32"/>
    <w:rsid w:val="00937DA6"/>
    <w:rsid w:val="00944DE6"/>
    <w:rsid w:val="00945F59"/>
    <w:rsid w:val="00947996"/>
    <w:rsid w:val="0095538B"/>
    <w:rsid w:val="00960720"/>
    <w:rsid w:val="009814D2"/>
    <w:rsid w:val="00992A58"/>
    <w:rsid w:val="00997752"/>
    <w:rsid w:val="009A36BD"/>
    <w:rsid w:val="009A6B1E"/>
    <w:rsid w:val="009C5BC1"/>
    <w:rsid w:val="009D2AC4"/>
    <w:rsid w:val="009F078F"/>
    <w:rsid w:val="009F0B8E"/>
    <w:rsid w:val="00A0201F"/>
    <w:rsid w:val="00A1431B"/>
    <w:rsid w:val="00A14DC2"/>
    <w:rsid w:val="00A15275"/>
    <w:rsid w:val="00A178A8"/>
    <w:rsid w:val="00A23718"/>
    <w:rsid w:val="00A32BC5"/>
    <w:rsid w:val="00A34D53"/>
    <w:rsid w:val="00A412DA"/>
    <w:rsid w:val="00A4190C"/>
    <w:rsid w:val="00A42F04"/>
    <w:rsid w:val="00A44C83"/>
    <w:rsid w:val="00A5136C"/>
    <w:rsid w:val="00A5262A"/>
    <w:rsid w:val="00A64E4F"/>
    <w:rsid w:val="00A81859"/>
    <w:rsid w:val="00A83CDE"/>
    <w:rsid w:val="00A96580"/>
    <w:rsid w:val="00A96F3D"/>
    <w:rsid w:val="00AA3730"/>
    <w:rsid w:val="00AB50C6"/>
    <w:rsid w:val="00AB6B6C"/>
    <w:rsid w:val="00AE2820"/>
    <w:rsid w:val="00B11871"/>
    <w:rsid w:val="00B207ED"/>
    <w:rsid w:val="00B223B2"/>
    <w:rsid w:val="00B35540"/>
    <w:rsid w:val="00B74017"/>
    <w:rsid w:val="00B76E42"/>
    <w:rsid w:val="00B85B4C"/>
    <w:rsid w:val="00BA2AD0"/>
    <w:rsid w:val="00BA6EB1"/>
    <w:rsid w:val="00BD06C4"/>
    <w:rsid w:val="00BE457B"/>
    <w:rsid w:val="00BF2355"/>
    <w:rsid w:val="00BF2747"/>
    <w:rsid w:val="00C04A02"/>
    <w:rsid w:val="00C14F07"/>
    <w:rsid w:val="00C2101C"/>
    <w:rsid w:val="00C26481"/>
    <w:rsid w:val="00C65D80"/>
    <w:rsid w:val="00C66952"/>
    <w:rsid w:val="00C710E0"/>
    <w:rsid w:val="00C859A2"/>
    <w:rsid w:val="00CB4220"/>
    <w:rsid w:val="00CD3887"/>
    <w:rsid w:val="00CE65CF"/>
    <w:rsid w:val="00D131EE"/>
    <w:rsid w:val="00D214C8"/>
    <w:rsid w:val="00D2321F"/>
    <w:rsid w:val="00D37C48"/>
    <w:rsid w:val="00D66BE8"/>
    <w:rsid w:val="00D963FB"/>
    <w:rsid w:val="00D977C8"/>
    <w:rsid w:val="00DB0E69"/>
    <w:rsid w:val="00DB5744"/>
    <w:rsid w:val="00DB793F"/>
    <w:rsid w:val="00DD1892"/>
    <w:rsid w:val="00DD18C9"/>
    <w:rsid w:val="00DE61AF"/>
    <w:rsid w:val="00DF256B"/>
    <w:rsid w:val="00DF4E6F"/>
    <w:rsid w:val="00DF672E"/>
    <w:rsid w:val="00E01B50"/>
    <w:rsid w:val="00E027C0"/>
    <w:rsid w:val="00E15D22"/>
    <w:rsid w:val="00E378C4"/>
    <w:rsid w:val="00E45A50"/>
    <w:rsid w:val="00E46FA2"/>
    <w:rsid w:val="00E5102C"/>
    <w:rsid w:val="00E52B8D"/>
    <w:rsid w:val="00E57B6A"/>
    <w:rsid w:val="00E60717"/>
    <w:rsid w:val="00E63903"/>
    <w:rsid w:val="00E976E6"/>
    <w:rsid w:val="00EA2114"/>
    <w:rsid w:val="00EA4075"/>
    <w:rsid w:val="00EA40C5"/>
    <w:rsid w:val="00EB1531"/>
    <w:rsid w:val="00EB6759"/>
    <w:rsid w:val="00EC0782"/>
    <w:rsid w:val="00ED76EC"/>
    <w:rsid w:val="00EE2D1C"/>
    <w:rsid w:val="00EE5C96"/>
    <w:rsid w:val="00F0494D"/>
    <w:rsid w:val="00F12187"/>
    <w:rsid w:val="00F165EE"/>
    <w:rsid w:val="00F17307"/>
    <w:rsid w:val="00F214D6"/>
    <w:rsid w:val="00F21503"/>
    <w:rsid w:val="00F403EE"/>
    <w:rsid w:val="00F64792"/>
    <w:rsid w:val="00F76995"/>
    <w:rsid w:val="00F90F16"/>
    <w:rsid w:val="00FA0DCF"/>
    <w:rsid w:val="00FA1AF3"/>
    <w:rsid w:val="00FA1F56"/>
    <w:rsid w:val="00FC3B71"/>
    <w:rsid w:val="00FD252B"/>
    <w:rsid w:val="00FE2A2A"/>
    <w:rsid w:val="00FE4FA5"/>
    <w:rsid w:val="0DFA48F9"/>
    <w:rsid w:val="0FD304D6"/>
    <w:rsid w:val="116D4993"/>
    <w:rsid w:val="20415484"/>
    <w:rsid w:val="21406688"/>
    <w:rsid w:val="3A602BFA"/>
    <w:rsid w:val="53AD1773"/>
    <w:rsid w:val="661F281A"/>
    <w:rsid w:val="770F2D6E"/>
    <w:rsid w:val="7D323451"/>
    <w:rsid w:val="7FDA017E"/>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微软雅黑" w:cs="Calibr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0" w:name="Normal Indent"/>
    <w:lsdException w:uiPriority="0" w:name="footnote text"/>
    <w:lsdException w:uiPriority="0" w:name="annotation text"/>
    <w:lsdException w:qFormat="1" w:unhideWhenUsed="0" w:uiPriority="99" w:name="header"/>
    <w:lsdException w:qFormat="1" w:unhideWhenUsed="0" w:uiPriority="99" w:name="footer"/>
    <w:lsdException w:uiPriority="0" w:name="index heading"/>
    <w:lsdException w:qFormat="1" w:uiPriority="0" w:name="caption" w:locked="1"/>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99"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ocked="1"/>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ocked="1"/>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ocked="1"/>
    <w:lsdException w:qFormat="1" w:unhideWhenUsed="0" w:uiPriority="0" w:semiHidden="0" w:name="Emphasis" w:locked="1"/>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99" w:name="Balloon Text"/>
    <w:lsdException w:unhideWhenUsed="0" w:uiPriority="0" w:semiHidden="0" w:name="Table Grid" w:locked="1"/>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iPriority w:val="99"/>
    <w:rPr>
      <w:sz w:val="18"/>
      <w:szCs w:val="18"/>
    </w:rPr>
  </w:style>
  <w:style w:type="paragraph" w:styleId="3">
    <w:name w:val="footer"/>
    <w:basedOn w:val="1"/>
    <w:link w:val="10"/>
    <w:semiHidden/>
    <w:qFormat/>
    <w:uiPriority w:val="99"/>
    <w:pPr>
      <w:tabs>
        <w:tab w:val="center" w:pos="4153"/>
        <w:tab w:val="right" w:pos="8306"/>
      </w:tabs>
      <w:snapToGrid w:val="0"/>
      <w:jc w:val="left"/>
    </w:pPr>
    <w:rPr>
      <w:sz w:val="18"/>
      <w:szCs w:val="18"/>
    </w:rPr>
  </w:style>
  <w:style w:type="paragraph" w:styleId="4">
    <w:name w:val="header"/>
    <w:basedOn w:val="1"/>
    <w:link w:val="9"/>
    <w:semiHidden/>
    <w:qFormat/>
    <w:uiPriority w:val="99"/>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99"/>
    <w:rPr>
      <w:rFonts w:cs="Times New Roman"/>
    </w:rPr>
  </w:style>
  <w:style w:type="paragraph" w:customStyle="1" w:styleId="8">
    <w:name w:val="纯文本1"/>
    <w:basedOn w:val="1"/>
    <w:uiPriority w:val="0"/>
    <w:pPr>
      <w:adjustRightInd w:val="0"/>
      <w:textAlignment w:val="baseline"/>
    </w:pPr>
    <w:rPr>
      <w:rFonts w:ascii="宋体" w:hAnsi="Courier New"/>
      <w:szCs w:val="20"/>
    </w:rPr>
  </w:style>
  <w:style w:type="character" w:customStyle="1" w:styleId="9">
    <w:name w:val="页眉 Char"/>
    <w:basedOn w:val="6"/>
    <w:link w:val="4"/>
    <w:semiHidden/>
    <w:qFormat/>
    <w:locked/>
    <w:uiPriority w:val="99"/>
    <w:rPr>
      <w:rFonts w:cs="Times New Roman"/>
      <w:sz w:val="18"/>
      <w:szCs w:val="18"/>
    </w:rPr>
  </w:style>
  <w:style w:type="character" w:customStyle="1" w:styleId="10">
    <w:name w:val="页脚 Char"/>
    <w:basedOn w:val="6"/>
    <w:link w:val="3"/>
    <w:semiHidden/>
    <w:qFormat/>
    <w:locked/>
    <w:uiPriority w:val="99"/>
    <w:rPr>
      <w:rFonts w:cs="Times New Roman"/>
      <w:sz w:val="18"/>
      <w:szCs w:val="18"/>
    </w:rPr>
  </w:style>
  <w:style w:type="character" w:customStyle="1" w:styleId="11">
    <w:name w:val="批注框文本 Char"/>
    <w:basedOn w:val="6"/>
    <w:link w:val="2"/>
    <w:semiHidden/>
    <w:qFormat/>
    <w:locked/>
    <w:uiPriority w:val="99"/>
    <w:rPr>
      <w:rFonts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15</Pages>
  <Words>1577</Words>
  <Characters>8993</Characters>
  <Lines>74</Lines>
  <Paragraphs>21</Paragraphs>
  <TotalTime>1</TotalTime>
  <ScaleCrop>false</ScaleCrop>
  <LinksUpToDate>false</LinksUpToDate>
  <CharactersWithSpaces>10549</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2017-10-31T06:51:00Z</dcterms:created>
  <dc:creator>Administrator</dc:creator>
  <cp:lastModifiedBy>Administrator</cp:lastModifiedBy>
  <cp:lastPrinted>2020-07-15T07:08:00Z</cp:lastPrinted>
  <dcterms:modified xsi:type="dcterms:W3CDTF">2021-08-11T16:10:57Z</dcterms:modified>
  <dc:title>永济市财政局</dc:title>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