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2021年永济市城区用户水龙头第二季度</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水质监测报告</w:t>
      </w:r>
    </w:p>
    <w:p>
      <w:pPr>
        <w:jc w:val="center"/>
        <w:rPr>
          <w:rFonts w:asciiTheme="majorEastAsia" w:hAnsiTheme="majorEastAsia" w:eastAsiaTheme="majorEastAsia"/>
          <w:b/>
          <w:bCs/>
          <w:sz w:val="44"/>
          <w:szCs w:val="44"/>
        </w:rPr>
      </w:pPr>
    </w:p>
    <w:p>
      <w:pPr>
        <w:spacing w:line="580" w:lineRule="exact"/>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为贯彻落实运城市人民政府《关于印发运城市水污染防治工作方案（2016-2020年）的通知》（运政发</w:t>
      </w:r>
      <w:r>
        <w:rPr>
          <w:rFonts w:hint="eastAsia" w:ascii="仿宋" w:hAnsi="仿宋" w:eastAsia="仿宋" w:cs="仿宋"/>
          <w:sz w:val="32"/>
          <w:szCs w:val="32"/>
        </w:rPr>
        <w:sym w:font="Symbol" w:char="F05B"/>
      </w:r>
      <w:r>
        <w:rPr>
          <w:rFonts w:hint="eastAsia" w:ascii="仿宋" w:hAnsi="仿宋" w:eastAsia="仿宋" w:cs="仿宋"/>
          <w:sz w:val="32"/>
          <w:szCs w:val="32"/>
        </w:rPr>
        <w:t>2016</w:t>
      </w:r>
      <w:r>
        <w:rPr>
          <w:rFonts w:hint="eastAsia" w:ascii="仿宋" w:hAnsi="仿宋" w:eastAsia="仿宋" w:cs="仿宋"/>
          <w:sz w:val="32"/>
          <w:szCs w:val="32"/>
        </w:rPr>
        <w:sym w:font="Symbol" w:char="F05D"/>
      </w:r>
      <w:r>
        <w:rPr>
          <w:rFonts w:hint="eastAsia" w:ascii="仿宋" w:hAnsi="仿宋" w:eastAsia="仿宋" w:cs="仿宋"/>
          <w:sz w:val="32"/>
          <w:szCs w:val="32"/>
        </w:rPr>
        <w:t>6号）和《运城市城区水龙头水质检测工作方案》运卫疾控函（2021）16号要求，我中心于2021年6月份委托具有检测资质的山西圣羽环境监测服务有限公司对城区用户水龙头水质进行了第二季度监测。25个监测点检测情况如下：</w:t>
      </w:r>
    </w:p>
    <w:p>
      <w:pPr>
        <w:pStyle w:val="9"/>
        <w:numPr>
          <w:ilvl w:val="0"/>
          <w:numId w:val="1"/>
        </w:numPr>
        <w:spacing w:line="580" w:lineRule="exact"/>
        <w:ind w:firstLineChars="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监测范围</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全市城区（含东城区、西城区、北城区）设东西南北中五个方位，每个方位设五个监测点，共计25个监测点, 25个监测点用户水龙头的水源水全部来自城市集中式供水。监测点的水样采集由山西圣羽环境监测服务有限公司和疾控中心综合卫生股共同完成。</w:t>
      </w:r>
    </w:p>
    <w:p>
      <w:pPr>
        <w:pStyle w:val="9"/>
        <w:numPr>
          <w:ilvl w:val="0"/>
          <w:numId w:val="1"/>
        </w:numPr>
        <w:spacing w:line="580" w:lineRule="exact"/>
        <w:ind w:firstLineChars="0"/>
        <w:rPr>
          <w:rFonts w:asciiTheme="minorEastAsia" w:hAnsiTheme="minorEastAsia" w:cstheme="minorEastAsia"/>
          <w:b/>
          <w:bCs/>
          <w:sz w:val="32"/>
          <w:szCs w:val="32"/>
        </w:rPr>
      </w:pPr>
      <w:r>
        <w:rPr>
          <w:rFonts w:hint="eastAsia" w:asciiTheme="minorEastAsia" w:hAnsiTheme="minorEastAsia" w:cstheme="minorEastAsia"/>
          <w:b/>
          <w:bCs/>
          <w:sz w:val="32"/>
          <w:szCs w:val="32"/>
        </w:rPr>
        <w:t>检测内容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水样的采集、保存、运输、检测分析严格按照《生活饮用水标准检验方法》（GB∕T5750-2006）进行。25份水样的采集时间:2021年 6月3日，检测时间:2021年6月3日，数据报告时间:2021年 6月 13日。</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按照《生活饮用水标准检验方法》（GB∕T5750-2006）对每份水样，包括感官性状和一般化学指标、毒理学指标、微生物学指标等19项指标进行检测。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饮用水水质分析结果按照《生活饮用水卫生标准》（GB∕T5749-2006）为主要依据进行水质卫生评价。</w:t>
      </w:r>
    </w:p>
    <w:p>
      <w:pPr>
        <w:pStyle w:val="9"/>
        <w:numPr>
          <w:ilvl w:val="0"/>
          <w:numId w:val="1"/>
        </w:numPr>
        <w:spacing w:line="580" w:lineRule="exact"/>
        <w:ind w:firstLineChars="0"/>
        <w:rPr>
          <w:rFonts w:asciiTheme="minorEastAsia" w:hAnsiTheme="minorEastAsia" w:cstheme="minorEastAsia"/>
          <w:b/>
          <w:bCs/>
          <w:sz w:val="32"/>
          <w:szCs w:val="32"/>
        </w:rPr>
      </w:pPr>
      <w:r>
        <w:rPr>
          <w:rFonts w:hint="eastAsia" w:asciiTheme="minorEastAsia" w:hAnsiTheme="minorEastAsia" w:cstheme="minorEastAsia"/>
          <w:b/>
          <w:bCs/>
          <w:sz w:val="32"/>
          <w:szCs w:val="32"/>
        </w:rPr>
        <w:t>检测结果分析</w:t>
      </w:r>
    </w:p>
    <w:p>
      <w:pPr>
        <w:pStyle w:val="9"/>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微生物检测项目</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菌落总数14-72cfu/ml；总大肠菌群未检出；耐热大肠菌群未检出；大肠埃希氏菌未检出。检测项目结果均符合《生活饮用水卫生标准》（GB∕T5749-2006）。</w:t>
      </w:r>
    </w:p>
    <w:p>
      <w:pPr>
        <w:pStyle w:val="9"/>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毒理学检测项目</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硝酸盐2.80mg/L</w:t>
      </w:r>
      <w:r>
        <w:rPr>
          <w:rFonts w:ascii="仿宋" w:hAnsi="仿宋" w:eastAsia="仿宋" w:cs="仿宋"/>
          <w:sz w:val="32"/>
          <w:szCs w:val="32"/>
        </w:rPr>
        <w:t>—</w:t>
      </w:r>
      <w:r>
        <w:rPr>
          <w:rFonts w:hint="eastAsia" w:ascii="仿宋" w:hAnsi="仿宋" w:eastAsia="仿宋" w:cs="仿宋"/>
          <w:sz w:val="32"/>
          <w:szCs w:val="32"/>
        </w:rPr>
        <w:t>5.27mg/L；六价铬≤0.005mg/L</w:t>
      </w:r>
      <w:r>
        <w:rPr>
          <w:rFonts w:ascii="仿宋" w:hAnsi="仿宋" w:eastAsia="仿宋" w:cs="仿宋"/>
          <w:sz w:val="32"/>
          <w:szCs w:val="32"/>
        </w:rPr>
        <w:t>—</w:t>
      </w:r>
      <w:r>
        <w:rPr>
          <w:rFonts w:hint="eastAsia" w:ascii="仿宋" w:hAnsi="仿宋" w:eastAsia="仿宋" w:cs="仿宋"/>
          <w:sz w:val="32"/>
          <w:szCs w:val="32"/>
        </w:rPr>
        <w:t>0.008mg/L；砷≤0.001mg/L；汞≤0.0001mg/L；镉≤0.0005mg/L；铅≤0.0025mg/L；铝≤0.008mg/L-0.024 mg/L检测项目结果均符合《生活饮用水卫生标准》（GB∕T5749-2006）。</w:t>
      </w:r>
    </w:p>
    <w:p>
      <w:pPr>
        <w:pStyle w:val="9"/>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感官性状和一般化学检测项目</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色度≤5；浑浊度≤0.05；臭和味无；肉眼可见物无；耗氧量0.87mg/L</w:t>
      </w:r>
      <w:r>
        <w:rPr>
          <w:rFonts w:ascii="仿宋" w:hAnsi="仿宋" w:eastAsia="仿宋" w:cs="仿宋"/>
          <w:sz w:val="32"/>
          <w:szCs w:val="32"/>
        </w:rPr>
        <w:t>—</w:t>
      </w:r>
      <w:r>
        <w:rPr>
          <w:rFonts w:hint="eastAsia" w:ascii="仿宋" w:hAnsi="仿宋" w:eastAsia="仿宋" w:cs="仿宋"/>
          <w:sz w:val="32"/>
          <w:szCs w:val="32"/>
        </w:rPr>
        <w:t>1.25mg/L范围；氨氮≤0.02mg/L--0.05mg/L。检测项目结果均符合《生活饮用水卫生标准》（GB∕T5749-2006）。</w:t>
      </w:r>
    </w:p>
    <w:p>
      <w:pPr>
        <w:pStyle w:val="9"/>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消毒剂检测项目</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二氧化氯≤0.052mg∕L--0.164mg/L；游离余氯≤0.034mg∕L--0.192mg/L，达到《生活饮用水卫生标准》（GB∕T5749-2006）要求。（二氧化氯和游离余氯任意一项达到标准要求，即为合格）。</w:t>
      </w:r>
    </w:p>
    <w:p>
      <w:pPr>
        <w:pStyle w:val="9"/>
        <w:spacing w:line="560" w:lineRule="exact"/>
        <w:ind w:firstLine="643"/>
        <w:rPr>
          <w:rFonts w:asciiTheme="minorEastAsia" w:hAnsiTheme="minorEastAsia" w:cstheme="minorEastAsia"/>
          <w:b/>
          <w:bCs/>
          <w:sz w:val="32"/>
          <w:szCs w:val="32"/>
        </w:rPr>
      </w:pPr>
      <w:r>
        <w:rPr>
          <w:rFonts w:hint="eastAsia" w:asciiTheme="minorEastAsia" w:hAnsiTheme="minorEastAsia" w:cstheme="minorEastAsia"/>
          <w:b/>
          <w:bCs/>
          <w:sz w:val="32"/>
          <w:szCs w:val="32"/>
        </w:rPr>
        <w:t>四、结论</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第二季度对城市水龙头用户25份水样进行饮用水水质检测，检测项目19项，检测数据均达到《生活饮用水卫生标准》（GB∕T5749-2006）要求，用户水龙头水质合格率100％。</w:t>
      </w:r>
    </w:p>
    <w:p>
      <w:pPr>
        <w:pStyle w:val="9"/>
        <w:spacing w:line="580" w:lineRule="exact"/>
        <w:ind w:firstLine="643"/>
        <w:rPr>
          <w:rFonts w:asciiTheme="minorEastAsia" w:hAnsiTheme="minorEastAsia" w:cstheme="minorEastAsia"/>
          <w:b/>
          <w:bCs/>
          <w:sz w:val="32"/>
          <w:szCs w:val="32"/>
        </w:rPr>
      </w:pPr>
      <w:r>
        <w:rPr>
          <w:rFonts w:hint="eastAsia" w:asciiTheme="minorEastAsia" w:hAnsiTheme="minorEastAsia" w:cstheme="minorEastAsia"/>
          <w:b/>
          <w:bCs/>
          <w:sz w:val="32"/>
          <w:szCs w:val="32"/>
        </w:rPr>
        <w:t>五、建议</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1、为保障全市人民喝上放心水、达标水，市卫生健康和体育局协调市城乡供水有限公司等单位要严格认真落实责任制，切实做好饮用水水源地保护工作，加强消毒设备运转，保证出厂水和用户水龙头水质（末梢水）各项指标达到标准要求。城乡供水有限公司应定期对消毒剂指标进行检测并做好检测记录，保证检测数据达到出厂水和末梢水指标要求。</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2、卫生监督部门要加强对城区集中式供水及小区二次供水的监督力度，确保居民饮用水水质安全，防止发生饮用水安全事故。</w:t>
      </w:r>
    </w:p>
    <w:p>
      <w:pPr>
        <w:spacing w:line="580" w:lineRule="exact"/>
        <w:rPr>
          <w:rFonts w:ascii="仿宋" w:hAnsi="仿宋" w:eastAsia="仿宋" w:cs="仿宋"/>
          <w:sz w:val="32"/>
          <w:szCs w:val="32"/>
        </w:rPr>
      </w:pPr>
      <w:r>
        <w:rPr>
          <w:rFonts w:hint="eastAsia" w:ascii="仿宋" w:hAnsi="仿宋" w:eastAsia="仿宋" w:cs="仿宋"/>
          <w:sz w:val="32"/>
          <w:szCs w:val="32"/>
        </w:rPr>
        <w:t>具体结果详见附件（1-2）</w:t>
      </w:r>
    </w:p>
    <w:p>
      <w:pPr>
        <w:spacing w:line="580" w:lineRule="exact"/>
        <w:rPr>
          <w:rFonts w:ascii="仿宋" w:hAnsi="仿宋" w:eastAsia="仿宋" w:cs="仿宋"/>
          <w:sz w:val="32"/>
          <w:szCs w:val="32"/>
        </w:rPr>
      </w:pPr>
      <w:r>
        <w:rPr>
          <w:rFonts w:hint="eastAsia" w:ascii="仿宋" w:hAnsi="仿宋" w:eastAsia="仿宋" w:cs="仿宋"/>
          <w:sz w:val="32"/>
          <w:szCs w:val="32"/>
        </w:rPr>
        <w:t>附件1：生活饮用水卫生监测信息公开指标一览表</w:t>
      </w:r>
    </w:p>
    <w:p>
      <w:pPr>
        <w:spacing w:line="580" w:lineRule="exact"/>
        <w:rPr>
          <w:rFonts w:ascii="仿宋" w:hAnsi="仿宋" w:eastAsia="仿宋" w:cs="仿宋"/>
          <w:sz w:val="32"/>
          <w:szCs w:val="32"/>
        </w:rPr>
      </w:pPr>
      <w:r>
        <w:rPr>
          <w:rFonts w:hint="eastAsia" w:ascii="仿宋" w:hAnsi="仿宋" w:eastAsia="仿宋" w:cs="仿宋"/>
          <w:sz w:val="32"/>
          <w:szCs w:val="32"/>
        </w:rPr>
        <w:t>附件2：第二季度用户龙头水检测项目及结果</w:t>
      </w:r>
    </w:p>
    <w:p>
      <w:pPr>
        <w:pStyle w:val="9"/>
        <w:spacing w:line="560" w:lineRule="exact"/>
        <w:ind w:firstLine="640"/>
        <w:rPr>
          <w:rFonts w:ascii="仿宋" w:hAnsi="仿宋" w:eastAsia="仿宋" w:cs="仿宋"/>
          <w:sz w:val="32"/>
          <w:szCs w:val="32"/>
        </w:rPr>
      </w:pPr>
    </w:p>
    <w:p>
      <w:pPr>
        <w:spacing w:line="580" w:lineRule="exact"/>
        <w:ind w:left="142" w:right="480"/>
        <w:jc w:val="right"/>
        <w:rPr>
          <w:rFonts w:ascii="仿宋" w:hAnsi="仿宋" w:eastAsia="仿宋" w:cs="仿宋"/>
          <w:sz w:val="32"/>
          <w:szCs w:val="32"/>
        </w:rPr>
      </w:pPr>
      <w:r>
        <w:rPr>
          <w:rFonts w:hint="eastAsia" w:ascii="仿宋" w:hAnsi="仿宋" w:eastAsia="仿宋" w:cs="仿宋"/>
          <w:sz w:val="32"/>
          <w:szCs w:val="32"/>
        </w:rPr>
        <w:t>2021年6月15日</w:t>
      </w:r>
    </w:p>
    <w:sectPr>
      <w:footerReference r:id="rId3" w:type="default"/>
      <w:pgSz w:w="11906" w:h="16838"/>
      <w:pgMar w:top="1922"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F7C65"/>
    <w:multiLevelType w:val="singleLevel"/>
    <w:tmpl w:val="174F7C65"/>
    <w:lvl w:ilvl="0" w:tentative="0">
      <w:start w:val="1"/>
      <w:numFmt w:val="decimal"/>
      <w:suff w:val="nothing"/>
      <w:lvlText w:val="%1、"/>
      <w:lvlJc w:val="left"/>
    </w:lvl>
  </w:abstractNum>
  <w:abstractNum w:abstractNumId="1">
    <w:nsid w:val="62AD521D"/>
    <w:multiLevelType w:val="multilevel"/>
    <w:tmpl w:val="62AD521D"/>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178D3"/>
    <w:rsid w:val="00036443"/>
    <w:rsid w:val="000E0E67"/>
    <w:rsid w:val="000F7A1A"/>
    <w:rsid w:val="00191489"/>
    <w:rsid w:val="001D2FAC"/>
    <w:rsid w:val="002415F0"/>
    <w:rsid w:val="00255DF6"/>
    <w:rsid w:val="002C5874"/>
    <w:rsid w:val="00313CDD"/>
    <w:rsid w:val="00316DBE"/>
    <w:rsid w:val="0032674B"/>
    <w:rsid w:val="00354C59"/>
    <w:rsid w:val="003F4DDC"/>
    <w:rsid w:val="003F58FA"/>
    <w:rsid w:val="0044387F"/>
    <w:rsid w:val="004D798F"/>
    <w:rsid w:val="0050335A"/>
    <w:rsid w:val="00533C3E"/>
    <w:rsid w:val="00606005"/>
    <w:rsid w:val="0062408B"/>
    <w:rsid w:val="0068189B"/>
    <w:rsid w:val="007117AC"/>
    <w:rsid w:val="007847A3"/>
    <w:rsid w:val="007A19E8"/>
    <w:rsid w:val="007A1B87"/>
    <w:rsid w:val="007A3B8C"/>
    <w:rsid w:val="007D6028"/>
    <w:rsid w:val="00816F7D"/>
    <w:rsid w:val="008418E6"/>
    <w:rsid w:val="008B2FFB"/>
    <w:rsid w:val="008C4480"/>
    <w:rsid w:val="008F2EFD"/>
    <w:rsid w:val="009151FC"/>
    <w:rsid w:val="009178D3"/>
    <w:rsid w:val="00920BCD"/>
    <w:rsid w:val="00977145"/>
    <w:rsid w:val="0099499F"/>
    <w:rsid w:val="009F7C68"/>
    <w:rsid w:val="00A41641"/>
    <w:rsid w:val="00A472DE"/>
    <w:rsid w:val="00A524EF"/>
    <w:rsid w:val="00A70DCD"/>
    <w:rsid w:val="00A76F84"/>
    <w:rsid w:val="00AB2A4F"/>
    <w:rsid w:val="00AB57D8"/>
    <w:rsid w:val="00B260B8"/>
    <w:rsid w:val="00B456FC"/>
    <w:rsid w:val="00B6535E"/>
    <w:rsid w:val="00C73BEC"/>
    <w:rsid w:val="00C756D6"/>
    <w:rsid w:val="00CA7B4D"/>
    <w:rsid w:val="00CB56B8"/>
    <w:rsid w:val="00CC4145"/>
    <w:rsid w:val="00D01D3B"/>
    <w:rsid w:val="00D07D24"/>
    <w:rsid w:val="00D65BDC"/>
    <w:rsid w:val="00DA451F"/>
    <w:rsid w:val="00DA760C"/>
    <w:rsid w:val="00DB34E8"/>
    <w:rsid w:val="00E85C08"/>
    <w:rsid w:val="00EA2498"/>
    <w:rsid w:val="00EA7C12"/>
    <w:rsid w:val="00ED79D5"/>
    <w:rsid w:val="02C45492"/>
    <w:rsid w:val="07407256"/>
    <w:rsid w:val="092B27A3"/>
    <w:rsid w:val="12D91969"/>
    <w:rsid w:val="1E566913"/>
    <w:rsid w:val="23C93D8B"/>
    <w:rsid w:val="28D07E8B"/>
    <w:rsid w:val="30CA18DA"/>
    <w:rsid w:val="35640C3A"/>
    <w:rsid w:val="39E87780"/>
    <w:rsid w:val="46421FE0"/>
    <w:rsid w:val="47B47A13"/>
    <w:rsid w:val="49D60546"/>
    <w:rsid w:val="4AE50D98"/>
    <w:rsid w:val="68FA7DE5"/>
    <w:rsid w:val="69C54259"/>
    <w:rsid w:val="6C8F091C"/>
    <w:rsid w:val="6DC751AB"/>
    <w:rsid w:val="708D15A0"/>
    <w:rsid w:val="70CD4D36"/>
    <w:rsid w:val="75C82D2E"/>
    <w:rsid w:val="7DBA1A24"/>
    <w:rsid w:val="7E6D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218</Words>
  <Characters>1247</Characters>
  <Lines>10</Lines>
  <Paragraphs>2</Paragraphs>
  <TotalTime>2874</TotalTime>
  <ScaleCrop>false</ScaleCrop>
  <LinksUpToDate>false</LinksUpToDate>
  <CharactersWithSpaces>1463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2021-04-06T01:46:00Z</dcterms:created>
  <dc:creator>微软用户</dc:creator>
  <cp:lastModifiedBy>少年丶一直年少っ</cp:lastModifiedBy>
  <cp:lastPrinted>2021-06-18T00:26:00Z</cp:lastPrinted>
  <dcterms:modified xsi:type="dcterms:W3CDTF">2021-07-20T07:36:43Z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43B36BF82A0F42C087DC6C39CB32489C</vt:lpwstr>
  </property>
</Properties>
</file>