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rPr>
        <w:t>永济市</w:t>
      </w:r>
      <w:r>
        <w:rPr>
          <w:rFonts w:hint="eastAsia" w:ascii="黑体" w:eastAsia="黑体"/>
          <w:sz w:val="44"/>
          <w:szCs w:val="44"/>
          <w:lang w:eastAsia="zh-CN"/>
        </w:rPr>
        <w:t>农业农村局</w:t>
      </w:r>
    </w:p>
    <w:p>
      <w:pPr>
        <w:jc w:val="center"/>
        <w:rPr>
          <w:rFonts w:hint="eastAsia" w:ascii="黑体" w:eastAsia="黑体"/>
          <w:sz w:val="44"/>
          <w:szCs w:val="44"/>
        </w:rPr>
      </w:pPr>
      <w:r>
        <w:rPr>
          <w:rFonts w:hint="eastAsia" w:ascii="黑体" w:eastAsia="黑体"/>
          <w:sz w:val="44"/>
          <w:szCs w:val="44"/>
        </w:rPr>
        <w:t>2019年度部门决算报表情况说明</w:t>
      </w:r>
    </w:p>
    <w:p>
      <w:pPr>
        <w:spacing w:line="520" w:lineRule="exact"/>
        <w:ind w:firstLine="645"/>
        <w:rPr>
          <w:rFonts w:hint="eastAsia" w:ascii="黑体" w:eastAsia="黑体"/>
          <w:sz w:val="32"/>
          <w:szCs w:val="32"/>
        </w:rPr>
      </w:pPr>
      <w:r>
        <w:rPr>
          <w:rFonts w:hint="eastAsia" w:ascii="黑体" w:eastAsia="黑体"/>
          <w:sz w:val="32"/>
          <w:szCs w:val="32"/>
        </w:rPr>
        <w:t>第一部分　　概况</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一、部门主要职责</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 w:hAnsi="仿宋" w:eastAsia="仿宋"/>
          <w:color w:val="000000"/>
          <w:sz w:val="28"/>
          <w:szCs w:val="28"/>
        </w:rPr>
      </w:pPr>
      <w:r>
        <w:rPr>
          <w:rFonts w:ascii="仿宋_GB2312" w:hAnsi="新宋体" w:eastAsia="仿宋_GB2312"/>
          <w:sz w:val="28"/>
          <w:szCs w:val="28"/>
        </w:rPr>
        <w:t>1</w:t>
      </w:r>
      <w:r>
        <w:rPr>
          <w:rFonts w:hint="eastAsia" w:ascii="仿宋_GB2312" w:hAnsi="新宋体" w:eastAsia="仿宋_GB2312"/>
          <w:sz w:val="28"/>
          <w:szCs w:val="28"/>
        </w:rPr>
        <w:t>、</w:t>
      </w:r>
      <w:r>
        <w:rPr>
          <w:rFonts w:hint="eastAsia" w:ascii="仿宋_GB2312" w:hAnsi="新宋体" w:eastAsia="仿宋_GB2312"/>
          <w:sz w:val="28"/>
          <w:szCs w:val="28"/>
          <w:lang w:eastAsia="zh-CN"/>
        </w:rPr>
        <w:t>统筹研究和组织实施全市“三农”工作的发展战略、中长期规划、重大政策。制定农业农村地方规范性文件，负责农业农村领域的综合执法工作。负责农业行政审批制度改革工作。参与落实涉及农财税、价格、收储、金融保险、进出口等政策措施；</w:t>
      </w:r>
      <w:r>
        <w:rPr>
          <w:rFonts w:ascii="仿宋_GB2312" w:hAnsi="新宋体" w:eastAsia="仿宋_GB2312"/>
          <w:sz w:val="28"/>
          <w:szCs w:val="28"/>
        </w:rPr>
        <w:t>2</w:t>
      </w:r>
      <w:r>
        <w:rPr>
          <w:rFonts w:hint="eastAsia" w:ascii="仿宋_GB2312" w:hAnsi="新宋体" w:eastAsia="仿宋_GB2312"/>
          <w:sz w:val="28"/>
          <w:szCs w:val="28"/>
        </w:rPr>
        <w:t>、</w:t>
      </w:r>
      <w:r>
        <w:rPr>
          <w:rFonts w:hint="eastAsia" w:ascii="仿宋_GB2312" w:hAnsi="新宋体" w:eastAsia="仿宋_GB2312"/>
          <w:sz w:val="28"/>
          <w:szCs w:val="28"/>
          <w:lang w:eastAsia="zh-CN"/>
        </w:rPr>
        <w:t>组织协调推进全市乡村振兴战略实施，统筹推动发展农村社会事业、农村公共服务、农村文化、农村基础设施和乡村治理。牵头组织改善农村人居环境。指导农村精神文明和优秀农耕文化建设。指导农业行业安全生产工作</w:t>
      </w:r>
      <w:r>
        <w:rPr>
          <w:rFonts w:hint="eastAsia" w:ascii="仿宋_GB2312" w:hAnsi="新宋体" w:eastAsia="仿宋_GB2312"/>
          <w:sz w:val="28"/>
          <w:szCs w:val="28"/>
        </w:rPr>
        <w:t>；</w:t>
      </w:r>
      <w:r>
        <w:rPr>
          <w:rFonts w:ascii="仿宋_GB2312" w:hAnsi="新宋体" w:eastAsia="仿宋_GB2312"/>
          <w:sz w:val="28"/>
          <w:szCs w:val="28"/>
        </w:rPr>
        <w:t>3</w:t>
      </w:r>
      <w:r>
        <w:rPr>
          <w:rFonts w:hint="eastAsia" w:ascii="仿宋_GB2312" w:hAnsi="新宋体" w:eastAsia="仿宋_GB2312"/>
          <w:sz w:val="28"/>
          <w:szCs w:val="28"/>
        </w:rPr>
        <w:t>、</w:t>
      </w:r>
      <w:r>
        <w:rPr>
          <w:rFonts w:hint="eastAsia" w:ascii="仿宋_GB2312" w:hAnsi="新宋体" w:eastAsia="仿宋_GB2312"/>
          <w:sz w:val="28"/>
          <w:szCs w:val="28"/>
          <w:lang w:eastAsia="zh-CN"/>
        </w:rPr>
        <w:t>组织实施深化全市农村经济体制改革和巩固完善农村基本经营制度的政策落实。负责农民承包地、农村宅基地改革和管理工作。负责农村集体产权制度改革，指导农村集体经济组织发展和集体资产管理工作。指导监督减轻农民负担和村民“一事一议”筹资筹劳管理。指导农民合作经济组织、农业社会化服务体系、新型农业经营主体建设与发展</w:t>
      </w:r>
      <w:r>
        <w:rPr>
          <w:rFonts w:hint="eastAsia" w:ascii="仿宋_GB2312" w:hAnsi="新宋体" w:eastAsia="仿宋_GB2312"/>
          <w:sz w:val="28"/>
          <w:szCs w:val="28"/>
        </w:rPr>
        <w:t>；</w:t>
      </w:r>
      <w:r>
        <w:rPr>
          <w:rFonts w:ascii="仿宋_GB2312" w:hAnsi="新宋体" w:eastAsia="仿宋_GB2312"/>
          <w:sz w:val="28"/>
          <w:szCs w:val="28"/>
        </w:rPr>
        <w:t>4</w:t>
      </w:r>
      <w:r>
        <w:rPr>
          <w:rFonts w:hint="eastAsia" w:ascii="仿宋_GB2312" w:hAnsi="新宋体" w:eastAsia="仿宋_GB2312"/>
          <w:sz w:val="28"/>
          <w:szCs w:val="28"/>
        </w:rPr>
        <w:t>、</w:t>
      </w:r>
      <w:r>
        <w:rPr>
          <w:rFonts w:hint="eastAsia" w:ascii="仿宋_GB2312" w:hAnsi="新宋体" w:eastAsia="仿宋_GB2312"/>
          <w:sz w:val="28"/>
          <w:szCs w:val="28"/>
          <w:lang w:eastAsia="zh-CN"/>
        </w:rPr>
        <w:t>指导乡村特色产业、农产品加工业、休闲农业、城郊农业以及新产业新业态发展工作。提出促进大宗农产品流通的建议，培育、保护地方农业品牌。发布农业农村信息，监测分析农业农村经济运行。承担农业统计和农业农村信息化有关</w:t>
      </w:r>
      <w:r>
        <w:rPr>
          <w:rFonts w:hint="eastAsia" w:ascii="仿宋_GB2312" w:hAnsi="新宋体" w:eastAsia="仿宋_GB2312"/>
          <w:sz w:val="28"/>
          <w:szCs w:val="28"/>
        </w:rPr>
        <w:t>工作；</w:t>
      </w:r>
      <w:r>
        <w:rPr>
          <w:rFonts w:ascii="仿宋_GB2312" w:hAnsi="新宋体" w:eastAsia="仿宋_GB2312"/>
          <w:sz w:val="28"/>
          <w:szCs w:val="28"/>
        </w:rPr>
        <w:t>5</w:t>
      </w:r>
      <w:r>
        <w:rPr>
          <w:rFonts w:hint="eastAsia" w:ascii="仿宋_GB2312" w:hAnsi="新宋体" w:eastAsia="仿宋_GB2312"/>
          <w:sz w:val="28"/>
          <w:szCs w:val="28"/>
        </w:rPr>
        <w:t>、负责</w:t>
      </w:r>
      <w:r>
        <w:rPr>
          <w:rFonts w:hint="eastAsia" w:ascii="仿宋_GB2312" w:hAnsi="新宋体" w:eastAsia="仿宋_GB2312"/>
          <w:sz w:val="28"/>
          <w:szCs w:val="28"/>
          <w:lang w:eastAsia="zh-CN"/>
        </w:rPr>
        <w:t>全市种植业、畜牧业、渔业、农垦、农业机械化等农业各产业的监督管理。组织落实粮食等农产品生产政策措施。指导农业供给侧结构性改革，组织构建现代农业产业体系、生产体系、经营体系。指导农业标准化生产</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6</w:t>
      </w:r>
      <w:r>
        <w:rPr>
          <w:rFonts w:hint="eastAsia" w:ascii="仿宋_GB2312" w:hAnsi="新宋体" w:eastAsia="仿宋_GB2312"/>
          <w:sz w:val="28"/>
          <w:szCs w:val="28"/>
        </w:rPr>
        <w:t>、负责农产品质量安全监督管理</w:t>
      </w:r>
      <w:r>
        <w:rPr>
          <w:rFonts w:hint="eastAsia" w:ascii="仿宋_GB2312" w:hAnsi="新宋体" w:eastAsia="仿宋_GB2312"/>
          <w:sz w:val="28"/>
          <w:szCs w:val="28"/>
          <w:lang w:eastAsia="zh-CN"/>
        </w:rPr>
        <w:t>。组织开展全市农产品质量安全监测、追溯、风险评估。指导农产品质量安全监管体系、农业检验检测体系建设和机构考核</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7、组织农业资源区划工作，指导全市农业用地、渔业水域以及农业生物物种资源的保护与管理。负责耕地及永久基本农田质量保护、水生野生植物保护管理工作。指导农产品产地环境管理和农业清洁生产。运用农艺、农机、生物等工程措施发展有机旱作农业。指导设施农业、生态循环农业、节水农业发展以及农村可再生能源综合开发利用、农业生物质产业发展、牵头管理外来物种；8、负责有关农业生产资料和农业投入品的监督管理。组织农业生产资料市场体系建设并监督实施。负责农作物种子（种苗）、种畜禽、农药、肥料、兽药、兽医医疗器械、饲料及饲料添加剂等监督管理。组织兽医医政、兽药药政药检工作，负责执业兽医和畜禽屠宰行业管理；9</w:t>
      </w:r>
      <w:r>
        <w:rPr>
          <w:rFonts w:hint="eastAsia" w:ascii="仿宋_GB2312" w:hAnsi="新宋体" w:eastAsia="仿宋_GB2312"/>
          <w:sz w:val="28"/>
          <w:szCs w:val="28"/>
        </w:rPr>
        <w:t>、</w:t>
      </w:r>
      <w:r>
        <w:rPr>
          <w:rFonts w:hint="eastAsia" w:ascii="仿宋_GB2312" w:hAnsi="新宋体" w:eastAsia="仿宋_GB2312"/>
          <w:sz w:val="28"/>
          <w:szCs w:val="28"/>
          <w:lang w:eastAsia="zh-CN"/>
        </w:rPr>
        <w:t>负责</w:t>
      </w:r>
      <w:r>
        <w:rPr>
          <w:rFonts w:hint="eastAsia" w:ascii="仿宋_GB2312" w:hAnsi="新宋体" w:eastAsia="仿宋_GB2312"/>
          <w:sz w:val="28"/>
          <w:szCs w:val="28"/>
        </w:rPr>
        <w:t>农业防灾减灾</w:t>
      </w:r>
      <w:r>
        <w:rPr>
          <w:rFonts w:hint="eastAsia" w:ascii="仿宋_GB2312" w:hAnsi="新宋体" w:eastAsia="仿宋_GB2312"/>
          <w:sz w:val="28"/>
          <w:szCs w:val="28"/>
          <w:lang w:eastAsia="zh-CN"/>
        </w:rPr>
        <w:t>、农作物重大病虫害防治工作。</w:t>
      </w:r>
      <w:r>
        <w:rPr>
          <w:rFonts w:hint="eastAsia" w:ascii="仿宋_GB2312" w:hAnsi="新宋体" w:eastAsia="仿宋_GB2312"/>
          <w:sz w:val="28"/>
          <w:szCs w:val="28"/>
        </w:rPr>
        <w:t>指导</w:t>
      </w:r>
      <w:r>
        <w:rPr>
          <w:rFonts w:hint="eastAsia" w:ascii="仿宋_GB2312" w:hAnsi="新宋体" w:eastAsia="仿宋_GB2312"/>
          <w:sz w:val="28"/>
          <w:szCs w:val="28"/>
          <w:lang w:eastAsia="zh-CN"/>
        </w:rPr>
        <w:t>动植物防疫体系建设，组织、监督全市动植物防疫检疫工作，发布疫情并组织扑灭。</w:t>
      </w:r>
      <w:r>
        <w:rPr>
          <w:rFonts w:hint="eastAsia" w:ascii="仿宋_GB2312" w:hAnsi="新宋体" w:eastAsia="仿宋_GB2312"/>
          <w:sz w:val="28"/>
          <w:szCs w:val="28"/>
        </w:rPr>
        <w:t>紧急救灾和灾后生产恢复；</w:t>
      </w:r>
      <w:r>
        <w:rPr>
          <w:rFonts w:ascii="仿宋_GB2312" w:hAnsi="新宋体" w:eastAsia="仿宋_GB2312"/>
          <w:sz w:val="28"/>
          <w:szCs w:val="28"/>
        </w:rPr>
        <w:t>10</w:t>
      </w:r>
      <w:r>
        <w:rPr>
          <w:rFonts w:hint="eastAsia" w:ascii="仿宋_GB2312" w:hAnsi="新宋体" w:eastAsia="仿宋_GB2312"/>
          <w:sz w:val="28"/>
          <w:szCs w:val="28"/>
        </w:rPr>
        <w:t>、负责农业</w:t>
      </w:r>
      <w:r>
        <w:rPr>
          <w:rFonts w:hint="eastAsia" w:ascii="仿宋_GB2312" w:hAnsi="新宋体" w:eastAsia="仿宋_GB2312"/>
          <w:sz w:val="28"/>
          <w:szCs w:val="28"/>
          <w:lang w:eastAsia="zh-CN"/>
        </w:rPr>
        <w:t>投资管理。提出全市农业投融资体制机制改革政策建议。编制农业投资项目建设规划，提出农业投资规模和方向、扶持农业农村发展财政项目的建议。按市人民政府规定权限审批农业投资项目，负责农业投资项目资金安排和监督管理；</w:t>
      </w:r>
      <w:r>
        <w:rPr>
          <w:rFonts w:hint="eastAsia" w:ascii="仿宋_GB2312" w:hAnsi="新宋体" w:eastAsia="仿宋_GB2312"/>
          <w:sz w:val="28"/>
          <w:szCs w:val="28"/>
          <w:lang w:val="en-US" w:eastAsia="zh-CN"/>
        </w:rPr>
        <w:t>11、推动农业科技体制改革和农业创新体系建设。指导农技推广体系和农业产业技术体系建设，组织开展全市农业领域的高新技术和应用技术研究、科技成果转化和技术推广。负责农业转基因生物安全监督管理和农业植物新品种保护；</w:t>
      </w:r>
      <w:r>
        <w:rPr>
          <w:rFonts w:ascii="仿宋_GB2312" w:hAnsi="新宋体" w:eastAsia="仿宋_GB2312"/>
          <w:sz w:val="28"/>
          <w:szCs w:val="28"/>
        </w:rPr>
        <w:t>1</w:t>
      </w:r>
      <w:r>
        <w:rPr>
          <w:rFonts w:hint="eastAsia" w:ascii="仿宋_GB2312" w:hAnsi="新宋体" w:eastAsia="仿宋_GB2312"/>
          <w:sz w:val="28"/>
          <w:szCs w:val="28"/>
          <w:lang w:val="en-US" w:eastAsia="zh-CN"/>
        </w:rPr>
        <w:t>2</w:t>
      </w:r>
      <w:r>
        <w:rPr>
          <w:rFonts w:hint="eastAsia" w:ascii="仿宋_GB2312" w:hAnsi="新宋体" w:eastAsia="仿宋_GB2312"/>
          <w:sz w:val="28"/>
          <w:szCs w:val="28"/>
        </w:rPr>
        <w:t>、</w:t>
      </w:r>
      <w:r>
        <w:rPr>
          <w:rFonts w:hint="eastAsia" w:ascii="仿宋_GB2312" w:hAnsi="新宋体" w:eastAsia="仿宋_GB2312"/>
          <w:sz w:val="28"/>
          <w:szCs w:val="28"/>
          <w:lang w:eastAsia="zh-CN"/>
        </w:rPr>
        <w:t>指导</w:t>
      </w:r>
      <w:r>
        <w:rPr>
          <w:rFonts w:hint="eastAsia" w:ascii="仿宋_GB2312" w:hAnsi="新宋体" w:eastAsia="仿宋_GB2312"/>
          <w:sz w:val="28"/>
          <w:szCs w:val="28"/>
        </w:rPr>
        <w:t>农业</w:t>
      </w:r>
      <w:r>
        <w:rPr>
          <w:rFonts w:hint="eastAsia" w:ascii="仿宋_GB2312" w:hAnsi="新宋体" w:eastAsia="仿宋_GB2312"/>
          <w:sz w:val="28"/>
          <w:szCs w:val="28"/>
          <w:lang w:eastAsia="zh-CN"/>
        </w:rPr>
        <w:t>农村</w:t>
      </w:r>
      <w:r>
        <w:rPr>
          <w:rFonts w:hint="eastAsia" w:ascii="仿宋_GB2312" w:hAnsi="新宋体" w:eastAsia="仿宋_GB2312"/>
          <w:sz w:val="28"/>
          <w:szCs w:val="28"/>
        </w:rPr>
        <w:t>人才</w:t>
      </w:r>
      <w:r>
        <w:rPr>
          <w:rFonts w:hint="eastAsia" w:ascii="仿宋_GB2312" w:hAnsi="新宋体" w:eastAsia="仿宋_GB2312"/>
          <w:sz w:val="28"/>
          <w:szCs w:val="28"/>
          <w:lang w:eastAsia="zh-CN"/>
        </w:rPr>
        <w:t>工作，拟定全市农业农村人才</w:t>
      </w:r>
      <w:r>
        <w:rPr>
          <w:rFonts w:hint="eastAsia" w:ascii="仿宋_GB2312" w:hAnsi="新宋体" w:eastAsia="仿宋_GB2312"/>
          <w:sz w:val="28"/>
          <w:szCs w:val="28"/>
        </w:rPr>
        <w:t>队伍建设规划并组织实施，指导农业教育和农业职业技能开发工作，</w:t>
      </w:r>
      <w:r>
        <w:rPr>
          <w:rFonts w:hint="eastAsia" w:ascii="仿宋_GB2312" w:hAnsi="新宋体" w:eastAsia="仿宋_GB2312"/>
          <w:sz w:val="28"/>
          <w:szCs w:val="28"/>
          <w:lang w:eastAsia="zh-CN"/>
        </w:rPr>
        <w:t>指导新型职业农民培育、农业科技人才培养和</w:t>
      </w:r>
      <w:r>
        <w:rPr>
          <w:rFonts w:hint="eastAsia" w:ascii="仿宋_GB2312" w:hAnsi="新宋体" w:eastAsia="仿宋_GB2312"/>
          <w:sz w:val="28"/>
          <w:szCs w:val="28"/>
        </w:rPr>
        <w:t>农村实用人才培训工</w:t>
      </w:r>
      <w:r>
        <w:rPr>
          <w:rFonts w:hint="eastAsia" w:ascii="仿宋_GB2312" w:hAnsi="新宋体" w:eastAsia="仿宋_GB2312"/>
          <w:sz w:val="28"/>
          <w:szCs w:val="28"/>
          <w:lang w:eastAsia="zh-CN"/>
        </w:rPr>
        <w:t>作</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13、牵头开展全市农业对外合作工作。承办农业涉外事务，组织开展农业贸易促进和有关国际国内经济、技术交流和合作。具体执行有关农业援外项目；14、承办市扶贫开发办公室日常工作；拟定并组织实施全市扶贫开发规划和年度计划；负责检查督促扶贫开发政策法规的贯彻执行；15、完成市委市政府和市委农村工作领导小组交办的其他任务。</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主要机构设为办公室、</w:t>
      </w:r>
      <w:r>
        <w:rPr>
          <w:rFonts w:hint="eastAsia" w:ascii="仿宋_GB2312" w:hAnsi="仿宋_GB2312" w:eastAsia="仿宋_GB2312" w:cs="仿宋_GB2312"/>
          <w:sz w:val="28"/>
          <w:szCs w:val="28"/>
          <w:lang w:eastAsia="zh-CN"/>
        </w:rPr>
        <w:t>农业农村与经济发展指导股、产业化发展与信息股、外经外事和</w:t>
      </w:r>
      <w:r>
        <w:rPr>
          <w:rFonts w:hint="eastAsia" w:ascii="仿宋_GB2312" w:hAnsi="仿宋_GB2312" w:eastAsia="仿宋_GB2312" w:cs="仿宋_GB2312"/>
          <w:sz w:val="28"/>
          <w:szCs w:val="28"/>
        </w:rPr>
        <w:t>种植业管理股、</w:t>
      </w:r>
      <w:r>
        <w:rPr>
          <w:rFonts w:hint="eastAsia" w:ascii="仿宋_GB2312" w:hAnsi="仿宋_GB2312" w:eastAsia="仿宋_GB2312" w:cs="仿宋_GB2312"/>
          <w:sz w:val="28"/>
          <w:szCs w:val="28"/>
          <w:lang w:eastAsia="zh-CN"/>
        </w:rPr>
        <w:t>畜牧兽医与农垦渔政管理股、农业机械与农田建设管理股、行政审批股七</w:t>
      </w:r>
      <w:r>
        <w:rPr>
          <w:rFonts w:hint="eastAsia" w:ascii="仿宋_GB2312" w:hAnsi="仿宋_GB2312" w:eastAsia="仿宋_GB2312" w:cs="仿宋_GB2312"/>
          <w:sz w:val="28"/>
          <w:szCs w:val="28"/>
        </w:rPr>
        <w:t>个股室。</w:t>
      </w:r>
    </w:p>
    <w:p>
      <w:pPr>
        <w:numPr>
          <w:ilvl w:val="0"/>
          <w:numId w:val="1"/>
        </w:num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部门决算单位构成</w:t>
      </w:r>
    </w:p>
    <w:p>
      <w:pPr>
        <w:numPr>
          <w:ilvl w:val="0"/>
          <w:numId w:val="0"/>
        </w:numPr>
        <w:spacing w:line="520" w:lineRule="exac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s="仿宋"/>
          <w:bCs/>
          <w:color w:val="000000"/>
          <w:sz w:val="32"/>
          <w:szCs w:val="32"/>
        </w:rPr>
        <w:t>纳入本套决算编制范围的独立核算单位共</w:t>
      </w:r>
      <w:r>
        <w:rPr>
          <w:rFonts w:hint="eastAsia" w:ascii="仿宋" w:hAnsi="仿宋" w:eastAsia="仿宋" w:cs="仿宋"/>
          <w:bCs/>
          <w:color w:val="000000"/>
          <w:sz w:val="32"/>
          <w:szCs w:val="32"/>
          <w:u w:val="single"/>
        </w:rPr>
        <w:t xml:space="preserve">  1　</w:t>
      </w:r>
      <w:r>
        <w:rPr>
          <w:rFonts w:hint="eastAsia" w:ascii="仿宋" w:hAnsi="仿宋" w:eastAsia="仿宋" w:cs="仿宋"/>
          <w:bCs/>
          <w:color w:val="000000"/>
          <w:sz w:val="32"/>
          <w:szCs w:val="32"/>
        </w:rPr>
        <w:t>个</w:t>
      </w:r>
    </w:p>
    <w:p>
      <w:pPr>
        <w:numPr>
          <w:ilvl w:val="0"/>
          <w:numId w:val="0"/>
        </w:numPr>
        <w:spacing w:line="520" w:lineRule="exact"/>
        <w:rPr>
          <w:rFonts w:hint="eastAsia" w:ascii="黑体" w:eastAsia="黑体"/>
          <w:sz w:val="32"/>
          <w:szCs w:val="32"/>
          <w:lang w:eastAsia="zh-CN"/>
        </w:rPr>
      </w:pPr>
      <w:r>
        <w:rPr>
          <w:rFonts w:hint="eastAsia" w:ascii="黑体" w:eastAsia="黑体"/>
          <w:sz w:val="32"/>
          <w:szCs w:val="32"/>
        </w:rPr>
        <w:t>第二部分　　2019年度部门决算报表</w:t>
      </w:r>
      <w:r>
        <w:rPr>
          <w:rFonts w:hint="eastAsia" w:ascii="黑体" w:eastAsia="黑体"/>
          <w:sz w:val="32"/>
          <w:szCs w:val="32"/>
          <w:lang w:eastAsia="zh-CN"/>
        </w:rPr>
        <w:t>（详见附件）</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一、收入支出决算总表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二、收入决算表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三、支出决算表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四、财政拨款收入支出决算总表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五、一般公共预算财政拨款支出决算表（一）</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六、一般公共预算财政拨款支出决算表（二）</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七、一般公共预算财政拨款“三公”经费支出决算表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八、政府性基金预算财政拨款收入支出决算表</w:t>
      </w:r>
    </w:p>
    <w:p>
      <w:pPr>
        <w:spacing w:line="520" w:lineRule="exact"/>
        <w:ind w:firstLine="645"/>
        <w:rPr>
          <w:rFonts w:hint="eastAsia" w:ascii="仿宋" w:hAnsi="仿宋" w:eastAsia="仿宋"/>
          <w:color w:val="000000"/>
          <w:sz w:val="32"/>
          <w:szCs w:val="32"/>
        </w:rPr>
      </w:pPr>
      <w:r>
        <w:rPr>
          <w:rFonts w:hint="eastAsia" w:ascii="仿宋" w:hAnsi="仿宋" w:eastAsia="仿宋"/>
          <w:color w:val="000000"/>
          <w:sz w:val="32"/>
          <w:szCs w:val="32"/>
        </w:rPr>
        <w:t>九、部门决算公开相关信息统计表</w:t>
      </w:r>
    </w:p>
    <w:p>
      <w:pPr>
        <w:spacing w:line="520" w:lineRule="exact"/>
        <w:ind w:firstLine="645"/>
        <w:rPr>
          <w:rFonts w:hint="eastAsia" w:ascii="黑体" w:eastAsia="黑体"/>
          <w:sz w:val="32"/>
          <w:szCs w:val="32"/>
        </w:rPr>
      </w:pPr>
      <w:r>
        <w:rPr>
          <w:rFonts w:hint="eastAsia" w:ascii="黑体" w:eastAsia="黑体"/>
          <w:sz w:val="32"/>
          <w:szCs w:val="32"/>
        </w:rPr>
        <w:t>第三部分　　2019年度部门决算报表分析</w:t>
      </w:r>
    </w:p>
    <w:p>
      <w:pPr>
        <w:spacing w:line="520" w:lineRule="exact"/>
        <w:ind w:firstLine="645"/>
        <w:rPr>
          <w:rFonts w:hint="eastAsia" w:ascii="黑体" w:eastAsia="黑体"/>
          <w:sz w:val="32"/>
          <w:szCs w:val="32"/>
        </w:rPr>
      </w:pPr>
      <w:r>
        <w:rPr>
          <w:rFonts w:hint="eastAsia" w:ascii="仿宋_GB2312" w:eastAsia="仿宋_GB2312"/>
          <w:color w:val="000000"/>
          <w:sz w:val="32"/>
          <w:szCs w:val="32"/>
        </w:rPr>
        <w:t>一、收入支出决算总体情况说明</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olor w:val="000000"/>
          <w:sz w:val="32"/>
          <w:szCs w:val="32"/>
        </w:rPr>
      </w:pPr>
      <w:r>
        <w:rPr>
          <w:rFonts w:hint="eastAsia" w:ascii="仿宋_GB2312" w:hAnsi="仿宋_GB2312" w:eastAsia="仿宋_GB2312" w:cs="仿宋_GB2312"/>
          <w:color w:val="000000"/>
          <w:sz w:val="28"/>
          <w:szCs w:val="28"/>
        </w:rPr>
        <w:t>2019年度收入总计</w:t>
      </w:r>
      <w:r>
        <w:rPr>
          <w:rFonts w:hint="eastAsia" w:ascii="仿宋_GB2312" w:hAnsi="仿宋_GB2312" w:eastAsia="仿宋_GB2312" w:cs="仿宋_GB2312"/>
          <w:sz w:val="28"/>
          <w:szCs w:val="28"/>
          <w:lang w:val="en-US" w:eastAsia="zh-CN"/>
        </w:rPr>
        <w:t>4751.05</w:t>
      </w:r>
      <w:r>
        <w:rPr>
          <w:rFonts w:hint="eastAsia" w:ascii="仿宋_GB2312" w:hAnsi="仿宋_GB2312" w:eastAsia="仿宋_GB2312" w:cs="仿宋_GB2312"/>
          <w:color w:val="000000"/>
          <w:sz w:val="28"/>
          <w:szCs w:val="28"/>
        </w:rPr>
        <w:t>万元、支出总计</w:t>
      </w:r>
      <w:r>
        <w:rPr>
          <w:rFonts w:hint="eastAsia" w:ascii="仿宋_GB2312" w:hAnsi="仿宋_GB2312" w:eastAsia="仿宋_GB2312" w:cs="仿宋_GB2312"/>
          <w:sz w:val="28"/>
          <w:szCs w:val="28"/>
          <w:lang w:val="en-US" w:eastAsia="zh-CN"/>
        </w:rPr>
        <w:t>4258.867</w:t>
      </w:r>
      <w:r>
        <w:rPr>
          <w:rFonts w:hint="eastAsia" w:ascii="仿宋_GB2312" w:hAnsi="仿宋_GB2312" w:eastAsia="仿宋_GB2312" w:cs="仿宋_GB2312"/>
          <w:color w:val="000000"/>
          <w:sz w:val="28"/>
          <w:szCs w:val="28"/>
        </w:rPr>
        <w:t>万元。与2018年相比，收入总计</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sz w:val="28"/>
          <w:szCs w:val="28"/>
          <w:lang w:val="en-US" w:eastAsia="zh-CN"/>
        </w:rPr>
        <w:t>956.27</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主要原因</w:t>
      </w:r>
      <w:r>
        <w:rPr>
          <w:rFonts w:hint="eastAsia" w:ascii="仿宋_GB2312" w:hAnsi="仿宋_GB2312" w:eastAsia="仿宋_GB2312" w:cs="仿宋_GB2312"/>
          <w:color w:val="000000"/>
          <w:sz w:val="28"/>
          <w:szCs w:val="28"/>
          <w:lang w:eastAsia="zh-CN"/>
        </w:rPr>
        <w:t>是</w:t>
      </w:r>
      <w:r>
        <w:rPr>
          <w:rFonts w:hint="eastAsia" w:ascii="仿宋_GB2312" w:hAnsi="仿宋_GB2312" w:eastAsia="仿宋_GB2312" w:cs="仿宋_GB2312"/>
          <w:color w:val="333333"/>
          <w:sz w:val="28"/>
          <w:szCs w:val="28"/>
          <w:lang w:eastAsia="zh-CN"/>
        </w:rPr>
        <w:t>机构改革人员增加</w:t>
      </w:r>
      <w:r>
        <w:rPr>
          <w:rFonts w:hint="eastAsia" w:ascii="仿宋_GB2312" w:hAnsi="仿宋_GB2312" w:eastAsia="仿宋_GB2312" w:cs="仿宋_GB2312"/>
          <w:color w:val="333333"/>
          <w:sz w:val="28"/>
          <w:szCs w:val="28"/>
          <w:lang w:val="en-US" w:eastAsia="zh-CN"/>
        </w:rPr>
        <w:t>22人及</w:t>
      </w:r>
      <w:r>
        <w:rPr>
          <w:rFonts w:hint="eastAsia" w:ascii="仿宋_GB2312" w:hAnsi="仿宋_GB2312" w:eastAsia="仿宋_GB2312" w:cs="仿宋_GB2312"/>
          <w:color w:val="333333"/>
          <w:sz w:val="28"/>
          <w:szCs w:val="28"/>
        </w:rPr>
        <w:t>工资标准提高</w:t>
      </w:r>
      <w:r>
        <w:rPr>
          <w:rFonts w:hint="eastAsia" w:ascii="仿宋_GB2312" w:hAnsi="仿宋_GB2312" w:eastAsia="仿宋_GB2312" w:cs="仿宋_GB2312"/>
          <w:color w:val="333333"/>
          <w:sz w:val="28"/>
          <w:szCs w:val="28"/>
          <w:lang w:eastAsia="zh-CN"/>
        </w:rPr>
        <w:t>及社会保障交费增加</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sz w:val="28"/>
          <w:szCs w:val="28"/>
        </w:rPr>
        <w:t>项目收入</w:t>
      </w:r>
      <w:r>
        <w:rPr>
          <w:rFonts w:hint="eastAsia" w:ascii="仿宋_GB2312" w:hAnsi="仿宋_GB2312" w:eastAsia="仿宋_GB2312" w:cs="仿宋_GB2312"/>
          <w:color w:val="333333"/>
          <w:sz w:val="28"/>
          <w:szCs w:val="28"/>
        </w:rPr>
        <w:t>比上年</w:t>
      </w:r>
      <w:r>
        <w:rPr>
          <w:rFonts w:hint="eastAsia" w:ascii="仿宋_GB2312" w:hAnsi="仿宋_GB2312" w:eastAsia="仿宋_GB2312" w:cs="仿宋_GB2312"/>
          <w:color w:val="333333"/>
          <w:sz w:val="28"/>
          <w:szCs w:val="28"/>
          <w:lang w:eastAsia="zh-CN"/>
        </w:rPr>
        <w:t>增</w:t>
      </w:r>
      <w:r>
        <w:rPr>
          <w:rFonts w:hint="eastAsia" w:ascii="仿宋_GB2312" w:hAnsi="仿宋_GB2312" w:eastAsia="仿宋_GB2312" w:cs="仿宋_GB2312"/>
          <w:sz w:val="28"/>
          <w:szCs w:val="28"/>
          <w:lang w:val="en-US" w:eastAsia="zh-CN"/>
        </w:rPr>
        <w:t>827.88万</w:t>
      </w:r>
      <w:r>
        <w:rPr>
          <w:rFonts w:hint="eastAsia" w:ascii="仿宋_GB2312" w:hAnsi="仿宋_GB2312" w:eastAsia="仿宋_GB2312" w:cs="仿宋_GB2312"/>
          <w:sz w:val="28"/>
          <w:szCs w:val="28"/>
        </w:rPr>
        <w:t>元，</w:t>
      </w:r>
      <w:r>
        <w:rPr>
          <w:rFonts w:hint="eastAsia" w:ascii="仿宋_GB2312" w:hAnsi="仿宋_GB2312" w:eastAsia="仿宋_GB2312" w:cs="仿宋_GB2312"/>
          <w:color w:val="333333"/>
          <w:sz w:val="28"/>
          <w:szCs w:val="28"/>
        </w:rPr>
        <w:t>其主要原因是</w:t>
      </w:r>
      <w:r>
        <w:rPr>
          <w:rFonts w:hint="eastAsia" w:ascii="仿宋_GB2312" w:hAnsi="仿宋_GB2312" w:eastAsia="仿宋_GB2312" w:cs="仿宋_GB2312"/>
          <w:color w:val="333333"/>
          <w:sz w:val="28"/>
          <w:szCs w:val="28"/>
          <w:lang w:val="en-US" w:eastAsia="zh-CN"/>
        </w:rPr>
        <w:t>1、2</w:t>
      </w:r>
      <w:r>
        <w:rPr>
          <w:rFonts w:hint="eastAsia" w:ascii="仿宋_GB2312" w:hAnsi="仿宋_GB2312" w:eastAsia="仿宋_GB2312" w:cs="仿宋_GB2312"/>
          <w:sz w:val="28"/>
          <w:szCs w:val="28"/>
        </w:rPr>
        <w:t>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农业支持保护补贴</w:t>
      </w:r>
      <w:r>
        <w:rPr>
          <w:rFonts w:hint="eastAsia" w:ascii="仿宋_GB2312" w:hAnsi="仿宋_GB2312" w:eastAsia="仿宋_GB2312" w:cs="仿宋_GB2312"/>
          <w:sz w:val="28"/>
          <w:szCs w:val="28"/>
          <w:lang w:val="en-US" w:eastAsia="zh-CN"/>
        </w:rPr>
        <w:t>558万元列入我局（上年该收入在财政局决算），2、2019年创建市级农产品安全年项目100万元；3、2019年增加农村“厕所革命”项目300万元。</w:t>
      </w:r>
      <w:r>
        <w:rPr>
          <w:rFonts w:hint="eastAsia" w:ascii="仿宋_GB2312" w:hAnsi="仿宋_GB2312" w:eastAsia="仿宋_GB2312" w:cs="仿宋_GB2312"/>
          <w:color w:val="000000"/>
          <w:sz w:val="28"/>
          <w:szCs w:val="28"/>
        </w:rPr>
        <w:t>支出总计</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sz w:val="28"/>
          <w:szCs w:val="28"/>
          <w:lang w:val="en-US" w:eastAsia="zh-CN"/>
        </w:rPr>
        <w:t>1663.12</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rPr>
        <w:t>其</w:t>
      </w:r>
      <w:r>
        <w:rPr>
          <w:rFonts w:hint="eastAsia" w:ascii="仿宋_GB2312" w:hAnsi="仿宋_GB2312" w:eastAsia="仿宋_GB2312" w:cs="仿宋_GB2312"/>
          <w:sz w:val="28"/>
          <w:szCs w:val="28"/>
          <w:lang w:eastAsia="zh-CN"/>
        </w:rPr>
        <w:t>增加</w:t>
      </w:r>
      <w:r>
        <w:rPr>
          <w:rFonts w:hint="eastAsia" w:ascii="仿宋_GB2312" w:hAnsi="仿宋_GB2312" w:eastAsia="仿宋_GB2312" w:cs="仿宋_GB2312"/>
          <w:sz w:val="28"/>
          <w:szCs w:val="28"/>
        </w:rPr>
        <w:t>主要原因</w:t>
      </w:r>
      <w:r>
        <w:rPr>
          <w:rFonts w:hint="eastAsia" w:ascii="仿宋_GB2312" w:hAnsi="仿宋_GB2312" w:eastAsia="仿宋_GB2312" w:cs="仿宋_GB2312"/>
          <w:sz w:val="28"/>
          <w:szCs w:val="28"/>
          <w:lang w:eastAsia="zh-CN"/>
        </w:rPr>
        <w:t>是</w:t>
      </w:r>
      <w:r>
        <w:rPr>
          <w:rFonts w:hint="eastAsia" w:ascii="仿宋_GB2312" w:hAnsi="仿宋_GB2312" w:eastAsia="仿宋_GB2312" w:cs="仿宋_GB2312"/>
          <w:color w:val="333333"/>
          <w:sz w:val="28"/>
          <w:szCs w:val="28"/>
          <w:lang w:eastAsia="zh-CN"/>
        </w:rPr>
        <w:t>其他农业项目今年比去年增加支出</w:t>
      </w:r>
      <w:r>
        <w:rPr>
          <w:rFonts w:hint="eastAsia" w:ascii="仿宋_GB2312" w:hAnsi="宋体" w:eastAsia="仿宋_GB2312" w:cs="宋体"/>
          <w:color w:val="333333"/>
          <w:sz w:val="28"/>
          <w:szCs w:val="28"/>
          <w:lang w:val="en-US" w:eastAsia="zh-CN"/>
        </w:rPr>
        <w:t>1458.69万元(主要项目为:2018年秸杆综合利用支出654.01万元,2018年蔬菜示范园支出100万元,粮食高产创建126.78元,职业农民培训项目110.55元,农村厕所革命项目7.0047元,粮食功能区划定支出79.56元,农村美丽宜居支出50万元等)，国有农场扶贫项目今年支出391.77万元，农村可再生能源建设今年减少81.5万元</w:t>
      </w:r>
      <w:r>
        <w:rPr>
          <w:rFonts w:hint="eastAsia" w:ascii="仿宋_GB2312" w:hAnsi="宋体" w:eastAsia="仿宋_GB2312" w:cs="宋体"/>
          <w:color w:val="333333"/>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二、收入决算情况说明</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本年收入合计</w:t>
      </w:r>
      <w:r>
        <w:rPr>
          <w:rFonts w:hint="eastAsia" w:ascii="仿宋_GB2312" w:hAnsi="仿宋_GB2312" w:eastAsia="仿宋_GB2312" w:cs="仿宋_GB2312"/>
          <w:color w:val="000000"/>
          <w:sz w:val="28"/>
          <w:szCs w:val="28"/>
          <w:u w:val="none"/>
          <w:lang w:val="en-US" w:eastAsia="zh-CN"/>
        </w:rPr>
        <w:t>4751.05</w:t>
      </w:r>
      <w:r>
        <w:rPr>
          <w:rFonts w:hint="eastAsia" w:ascii="仿宋_GB2312" w:hAnsi="仿宋_GB2312" w:eastAsia="仿宋_GB2312" w:cs="仿宋_GB2312"/>
          <w:color w:val="000000"/>
          <w:sz w:val="28"/>
          <w:szCs w:val="28"/>
        </w:rPr>
        <w:t>万元，其中：财政拨款收入</w:t>
      </w:r>
      <w:r>
        <w:rPr>
          <w:rFonts w:hint="eastAsia" w:ascii="仿宋_GB2312" w:hAnsi="仿宋_GB2312" w:eastAsia="仿宋_GB2312" w:cs="仿宋_GB2312"/>
          <w:color w:val="000000"/>
          <w:sz w:val="28"/>
          <w:szCs w:val="28"/>
          <w:lang w:val="en-US" w:eastAsia="zh-CN"/>
        </w:rPr>
        <w:t>4741.41</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99.8</w:t>
      </w:r>
      <w:r>
        <w:rPr>
          <w:rFonts w:hint="eastAsia" w:ascii="仿宋_GB2312" w:hAnsi="仿宋_GB2312" w:eastAsia="仿宋_GB2312" w:cs="仿宋_GB2312"/>
          <w:color w:val="000000"/>
          <w:sz w:val="28"/>
          <w:szCs w:val="28"/>
        </w:rPr>
        <w:t>%；上级补助收入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%；事业收入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%；经营收入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%；附属单位上缴收入</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%；其他收入</w:t>
      </w:r>
      <w:r>
        <w:rPr>
          <w:rFonts w:hint="eastAsia" w:ascii="仿宋_GB2312" w:hAnsi="仿宋_GB2312" w:eastAsia="仿宋_GB2312" w:cs="仿宋_GB2312"/>
          <w:color w:val="000000"/>
          <w:sz w:val="28"/>
          <w:szCs w:val="28"/>
          <w:lang w:val="en-US" w:eastAsia="zh-CN"/>
        </w:rPr>
        <w:t>9.64</w:t>
      </w:r>
      <w:r>
        <w:rPr>
          <w:rFonts w:hint="eastAsia" w:ascii="仿宋_GB2312" w:hAnsi="仿宋_GB2312" w:eastAsia="仿宋_GB2312" w:cs="仿宋_GB2312"/>
          <w:color w:val="000000"/>
          <w:sz w:val="28"/>
          <w:szCs w:val="28"/>
        </w:rPr>
        <w:t>万元，占比</w:t>
      </w:r>
      <w:r>
        <w:rPr>
          <w:rFonts w:hint="eastAsia" w:ascii="仿宋_GB2312" w:hAnsi="仿宋_GB2312" w:eastAsia="仿宋_GB2312" w:cs="仿宋_GB2312"/>
          <w:color w:val="000000"/>
          <w:sz w:val="28"/>
          <w:szCs w:val="28"/>
          <w:lang w:val="en-US" w:eastAsia="zh-CN"/>
        </w:rPr>
        <w:t>0.2</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三、支出决算情况说明</w:t>
      </w:r>
    </w:p>
    <w:p>
      <w:pPr>
        <w:spacing w:line="520" w:lineRule="exact"/>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本年支出合计</w:t>
      </w:r>
      <w:r>
        <w:rPr>
          <w:rFonts w:hint="eastAsia" w:ascii="仿宋_GB2312" w:hAnsi="仿宋_GB2312" w:eastAsia="仿宋_GB2312" w:cs="仿宋_GB2312"/>
          <w:color w:val="auto"/>
          <w:sz w:val="28"/>
          <w:szCs w:val="28"/>
          <w:lang w:val="en-US" w:eastAsia="zh-CN"/>
        </w:rPr>
        <w:t>4258.87</w:t>
      </w:r>
      <w:r>
        <w:rPr>
          <w:rFonts w:hint="eastAsia" w:ascii="仿宋_GB2312" w:hAnsi="仿宋_GB2312" w:eastAsia="仿宋_GB2312" w:cs="仿宋_GB2312"/>
          <w:color w:val="auto"/>
          <w:sz w:val="28"/>
          <w:szCs w:val="28"/>
        </w:rPr>
        <w:t>万元，其中：基本支出1567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39万元，占比</w:t>
      </w:r>
      <w:r>
        <w:rPr>
          <w:rFonts w:hint="eastAsia" w:ascii="仿宋_GB2312" w:hAnsi="仿宋_GB2312" w:eastAsia="仿宋_GB2312" w:cs="仿宋_GB2312"/>
          <w:color w:val="auto"/>
          <w:sz w:val="28"/>
          <w:szCs w:val="28"/>
          <w:lang w:val="en-US" w:eastAsia="zh-CN"/>
        </w:rPr>
        <w:t>36.81</w:t>
      </w:r>
      <w:r>
        <w:rPr>
          <w:rFonts w:hint="eastAsia" w:ascii="仿宋_GB2312" w:hAnsi="仿宋_GB2312" w:eastAsia="仿宋_GB2312" w:cs="仿宋_GB2312"/>
          <w:color w:val="auto"/>
          <w:sz w:val="28"/>
          <w:szCs w:val="28"/>
        </w:rPr>
        <w:t>%；项目支出2691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47万元，占比</w:t>
      </w:r>
      <w:r>
        <w:rPr>
          <w:rFonts w:hint="eastAsia" w:ascii="仿宋_GB2312" w:hAnsi="仿宋_GB2312" w:eastAsia="仿宋_GB2312" w:cs="仿宋_GB2312"/>
          <w:color w:val="auto"/>
          <w:sz w:val="28"/>
          <w:szCs w:val="28"/>
          <w:lang w:val="en-US" w:eastAsia="zh-CN"/>
        </w:rPr>
        <w:t>63.2</w:t>
      </w:r>
      <w:r>
        <w:rPr>
          <w:rFonts w:hint="eastAsia" w:ascii="仿宋_GB2312" w:hAnsi="仿宋_GB2312" w:eastAsia="仿宋_GB2312" w:cs="仿宋_GB2312"/>
          <w:color w:val="auto"/>
          <w:sz w:val="28"/>
          <w:szCs w:val="28"/>
        </w:rPr>
        <w:t>%，上缴上级支出</w:t>
      </w:r>
      <w:r>
        <w:rPr>
          <w:rFonts w:hint="eastAsia" w:ascii="仿宋_GB2312" w:hAnsi="仿宋_GB2312" w:eastAsia="仿宋_GB2312" w:cs="仿宋_GB2312"/>
          <w:color w:val="auto"/>
          <w:sz w:val="28"/>
          <w:szCs w:val="28"/>
          <w:lang w:val="en-US" w:eastAsia="zh-CN"/>
        </w:rPr>
        <w:t>11.92</w:t>
      </w:r>
      <w:r>
        <w:rPr>
          <w:rFonts w:hint="eastAsia" w:ascii="仿宋_GB2312" w:hAnsi="仿宋_GB2312" w:eastAsia="仿宋_GB2312" w:cs="仿宋_GB2312"/>
          <w:color w:val="auto"/>
          <w:sz w:val="28"/>
          <w:szCs w:val="28"/>
        </w:rPr>
        <w:t>万元，占比</w:t>
      </w:r>
      <w:r>
        <w:rPr>
          <w:rFonts w:hint="eastAsia" w:ascii="仿宋_GB2312" w:hAnsi="仿宋_GB2312" w:eastAsia="仿宋_GB2312" w:cs="仿宋_GB2312"/>
          <w:color w:val="auto"/>
          <w:sz w:val="28"/>
          <w:szCs w:val="28"/>
          <w:lang w:val="en-US" w:eastAsia="zh-CN"/>
        </w:rPr>
        <w:t>0.28</w:t>
      </w:r>
      <w:r>
        <w:rPr>
          <w:rFonts w:hint="eastAsia" w:ascii="仿宋_GB2312" w:hAnsi="仿宋_GB2312" w:eastAsia="仿宋_GB2312" w:cs="仿宋_GB2312"/>
          <w:color w:val="auto"/>
          <w:sz w:val="28"/>
          <w:szCs w:val="28"/>
        </w:rPr>
        <w:t>%，经营支出</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万元，占比</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%,对附属单位补助支出</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万元，占比</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olor w:val="000000"/>
          <w:sz w:val="32"/>
          <w:szCs w:val="32"/>
        </w:rPr>
      </w:pPr>
      <w:r>
        <w:rPr>
          <w:rFonts w:hint="eastAsia" w:ascii="仿宋_GB2312" w:hAnsi="仿宋_GB2312" w:eastAsia="仿宋_GB2312" w:cs="仿宋_GB2312"/>
          <w:color w:val="000000"/>
          <w:sz w:val="28"/>
          <w:szCs w:val="28"/>
        </w:rPr>
        <w:t>2019年度财政拨款收入总计</w:t>
      </w:r>
      <w:r>
        <w:rPr>
          <w:rFonts w:hint="eastAsia" w:ascii="仿宋_GB2312" w:hAnsi="仿宋_GB2312" w:eastAsia="仿宋_GB2312" w:cs="仿宋_GB2312"/>
          <w:sz w:val="28"/>
          <w:szCs w:val="28"/>
          <w:lang w:val="en-US" w:eastAsia="zh-CN"/>
        </w:rPr>
        <w:t>4751.05</w:t>
      </w:r>
      <w:r>
        <w:rPr>
          <w:rFonts w:hint="eastAsia" w:ascii="仿宋_GB2312" w:hAnsi="仿宋_GB2312" w:eastAsia="仿宋_GB2312" w:cs="仿宋_GB2312"/>
          <w:color w:val="000000"/>
          <w:sz w:val="28"/>
          <w:szCs w:val="28"/>
        </w:rPr>
        <w:t>万元、支出总计</w:t>
      </w:r>
      <w:r>
        <w:rPr>
          <w:rFonts w:hint="eastAsia" w:ascii="仿宋_GB2312" w:hAnsi="仿宋_GB2312" w:eastAsia="仿宋_GB2312" w:cs="仿宋_GB2312"/>
          <w:sz w:val="28"/>
          <w:szCs w:val="28"/>
          <w:lang w:val="en-US" w:eastAsia="zh-CN"/>
        </w:rPr>
        <w:t>4258.87</w:t>
      </w:r>
      <w:r>
        <w:rPr>
          <w:rFonts w:hint="eastAsia" w:ascii="仿宋_GB2312" w:hAnsi="仿宋_GB2312" w:eastAsia="仿宋_GB2312" w:cs="仿宋_GB2312"/>
          <w:color w:val="000000"/>
          <w:sz w:val="28"/>
          <w:szCs w:val="28"/>
        </w:rPr>
        <w:t>万元。与2018年相比，财政拨款收入总计</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sz w:val="28"/>
          <w:szCs w:val="28"/>
          <w:lang w:val="en-US" w:eastAsia="zh-CN"/>
        </w:rPr>
        <w:t>956.27</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%，财政拨款支出总计</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1663.12</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lang w:eastAsia="zh-CN"/>
        </w:rPr>
        <w:t>增加</w:t>
      </w:r>
      <w:r>
        <w:rPr>
          <w:rFonts w:hint="eastAsia" w:ascii="仿宋_GB2312" w:hAnsi="仿宋_GB2312" w:eastAsia="仿宋_GB2312" w:cs="仿宋_GB2312"/>
          <w:color w:val="auto"/>
          <w:sz w:val="28"/>
          <w:szCs w:val="28"/>
          <w:lang w:val="en-US" w:eastAsia="zh-CN"/>
        </w:rPr>
        <w:t>114</w:t>
      </w:r>
      <w:r>
        <w:rPr>
          <w:rFonts w:hint="eastAsia" w:ascii="仿宋_GB2312" w:hAnsi="仿宋_GB2312" w:eastAsia="仿宋_GB2312" w:cs="仿宋_GB2312"/>
          <w:color w:val="auto"/>
          <w:sz w:val="28"/>
          <w:szCs w:val="28"/>
        </w:rPr>
        <w:t>%。主要原因是</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333333"/>
          <w:sz w:val="28"/>
          <w:szCs w:val="28"/>
          <w:lang w:eastAsia="zh-CN"/>
        </w:rPr>
        <w:t>机构改革人员增加</w:t>
      </w:r>
      <w:r>
        <w:rPr>
          <w:rFonts w:hint="eastAsia" w:ascii="仿宋_GB2312" w:hAnsi="仿宋_GB2312" w:eastAsia="仿宋_GB2312" w:cs="仿宋_GB2312"/>
          <w:color w:val="333333"/>
          <w:sz w:val="28"/>
          <w:szCs w:val="28"/>
          <w:lang w:val="en-US" w:eastAsia="zh-CN"/>
        </w:rPr>
        <w:t>22人及</w:t>
      </w:r>
      <w:r>
        <w:rPr>
          <w:rFonts w:hint="eastAsia" w:ascii="仿宋_GB2312" w:hAnsi="仿宋_GB2312" w:eastAsia="仿宋_GB2312" w:cs="仿宋_GB2312"/>
          <w:color w:val="333333"/>
          <w:sz w:val="28"/>
          <w:szCs w:val="28"/>
        </w:rPr>
        <w:t>工资标准提高</w:t>
      </w:r>
      <w:r>
        <w:rPr>
          <w:rFonts w:hint="eastAsia" w:ascii="仿宋_GB2312" w:hAnsi="仿宋_GB2312" w:eastAsia="仿宋_GB2312" w:cs="仿宋_GB2312"/>
          <w:color w:val="333333"/>
          <w:sz w:val="28"/>
          <w:szCs w:val="28"/>
          <w:lang w:eastAsia="zh-CN"/>
        </w:rPr>
        <w:t>及社会保障交费增加</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sz w:val="28"/>
          <w:szCs w:val="28"/>
        </w:rPr>
        <w:t>项目收入</w:t>
      </w:r>
      <w:r>
        <w:rPr>
          <w:rFonts w:hint="eastAsia" w:ascii="仿宋_GB2312" w:hAnsi="仿宋_GB2312" w:eastAsia="仿宋_GB2312" w:cs="仿宋_GB2312"/>
          <w:color w:val="333333"/>
          <w:sz w:val="28"/>
          <w:szCs w:val="28"/>
        </w:rPr>
        <w:t>比上年</w:t>
      </w:r>
      <w:r>
        <w:rPr>
          <w:rFonts w:hint="eastAsia" w:ascii="仿宋_GB2312" w:hAnsi="仿宋_GB2312" w:eastAsia="仿宋_GB2312" w:cs="仿宋_GB2312"/>
          <w:color w:val="333333"/>
          <w:sz w:val="28"/>
          <w:szCs w:val="28"/>
          <w:lang w:eastAsia="zh-CN"/>
        </w:rPr>
        <w:t>增</w:t>
      </w:r>
      <w:r>
        <w:rPr>
          <w:rFonts w:hint="eastAsia" w:ascii="仿宋_GB2312" w:hAnsi="仿宋_GB2312" w:eastAsia="仿宋_GB2312" w:cs="仿宋_GB2312"/>
          <w:sz w:val="28"/>
          <w:szCs w:val="28"/>
          <w:lang w:val="en-US" w:eastAsia="zh-CN"/>
        </w:rPr>
        <w:t>827.88万</w:t>
      </w:r>
      <w:r>
        <w:rPr>
          <w:rFonts w:hint="eastAsia" w:ascii="仿宋_GB2312" w:hAnsi="仿宋_GB2312" w:eastAsia="仿宋_GB2312" w:cs="仿宋_GB2312"/>
          <w:sz w:val="28"/>
          <w:szCs w:val="28"/>
        </w:rPr>
        <w:t>元，</w:t>
      </w:r>
      <w:r>
        <w:rPr>
          <w:rFonts w:hint="eastAsia" w:ascii="仿宋_GB2312" w:hAnsi="仿宋_GB2312" w:eastAsia="仿宋_GB2312" w:cs="仿宋_GB2312"/>
          <w:color w:val="333333"/>
          <w:sz w:val="28"/>
          <w:szCs w:val="28"/>
        </w:rPr>
        <w:t>其主要原因是</w:t>
      </w:r>
      <w:r>
        <w:rPr>
          <w:rFonts w:hint="eastAsia" w:ascii="仿宋_GB2312" w:hAnsi="仿宋_GB2312" w:eastAsia="仿宋_GB2312" w:cs="仿宋_GB2312"/>
          <w:color w:val="333333"/>
          <w:sz w:val="28"/>
          <w:szCs w:val="28"/>
          <w:lang w:val="en-US" w:eastAsia="zh-CN"/>
        </w:rPr>
        <w:t>1</w:t>
      </w:r>
      <w:r>
        <w:rPr>
          <w:rFonts w:hint="eastAsia" w:ascii="仿宋_GB2312" w:hAnsi="宋体" w:eastAsia="仿宋_GB2312" w:cs="宋体"/>
          <w:color w:val="333333"/>
          <w:sz w:val="28"/>
          <w:szCs w:val="28"/>
          <w:lang w:val="en-US" w:eastAsia="zh-CN"/>
        </w:rPr>
        <w:t>、2</w:t>
      </w:r>
      <w:r>
        <w:rPr>
          <w:rFonts w:hint="eastAsia" w:ascii="仿宋_GB2312" w:hAnsi="新宋体" w:eastAsia="仿宋_GB2312"/>
          <w:sz w:val="28"/>
          <w:szCs w:val="28"/>
        </w:rPr>
        <w:t>01</w:t>
      </w:r>
      <w:r>
        <w:rPr>
          <w:rFonts w:hint="eastAsia" w:ascii="仿宋_GB2312" w:hAnsi="新宋体" w:eastAsia="仿宋_GB2312"/>
          <w:sz w:val="28"/>
          <w:szCs w:val="28"/>
          <w:lang w:val="en-US" w:eastAsia="zh-CN"/>
        </w:rPr>
        <w:t>9</w:t>
      </w:r>
      <w:r>
        <w:rPr>
          <w:rFonts w:hint="eastAsia" w:ascii="仿宋_GB2312" w:hAnsi="新宋体" w:eastAsia="仿宋_GB2312"/>
          <w:sz w:val="28"/>
          <w:szCs w:val="28"/>
        </w:rPr>
        <w:t>年</w:t>
      </w:r>
      <w:r>
        <w:rPr>
          <w:rFonts w:hint="eastAsia" w:ascii="仿宋_GB2312" w:hAnsi="新宋体" w:eastAsia="仿宋_GB2312"/>
          <w:sz w:val="28"/>
          <w:szCs w:val="28"/>
          <w:lang w:eastAsia="zh-CN"/>
        </w:rPr>
        <w:t>农业支持保护补贴</w:t>
      </w:r>
      <w:r>
        <w:rPr>
          <w:rFonts w:hint="eastAsia" w:ascii="仿宋_GB2312" w:hAnsi="新宋体" w:eastAsia="仿宋_GB2312"/>
          <w:sz w:val="28"/>
          <w:szCs w:val="28"/>
          <w:lang w:val="en-US" w:eastAsia="zh-CN"/>
        </w:rPr>
        <w:t>558万元列入我局（上年该收入在财政局决算），2、2019年创建市级农产品安全年项目100万元；3、2019年增加农村“厕所革命”项目300万元。2</w:t>
      </w:r>
      <w:r>
        <w:rPr>
          <w:rFonts w:hint="eastAsia" w:ascii="仿宋_GB2312" w:hAnsi="宋体" w:eastAsia="仿宋_GB2312" w:cs="宋体"/>
          <w:sz w:val="28"/>
          <w:szCs w:val="28"/>
        </w:rPr>
        <w:t>其</w:t>
      </w:r>
      <w:r>
        <w:rPr>
          <w:rFonts w:hint="eastAsia" w:ascii="仿宋_GB2312" w:hAnsi="宋体" w:eastAsia="仿宋_GB2312" w:cs="宋体"/>
          <w:sz w:val="28"/>
          <w:szCs w:val="28"/>
          <w:lang w:eastAsia="zh-CN"/>
        </w:rPr>
        <w:t>增加</w:t>
      </w:r>
      <w:r>
        <w:rPr>
          <w:rFonts w:hint="eastAsia" w:ascii="仿宋_GB2312" w:hAnsi="宋体" w:eastAsia="仿宋_GB2312" w:cs="宋体"/>
          <w:sz w:val="28"/>
          <w:szCs w:val="28"/>
        </w:rPr>
        <w:t>主要原因</w:t>
      </w:r>
      <w:r>
        <w:rPr>
          <w:rFonts w:hint="eastAsia" w:ascii="仿宋_GB2312" w:hAnsi="宋体" w:eastAsia="仿宋_GB2312" w:cs="宋体"/>
          <w:color w:val="333333"/>
          <w:sz w:val="28"/>
          <w:szCs w:val="28"/>
          <w:lang w:eastAsia="zh-CN"/>
        </w:rPr>
        <w:t>其他农业项目今年比去年增加支出</w:t>
      </w:r>
      <w:r>
        <w:rPr>
          <w:rFonts w:hint="eastAsia" w:ascii="仿宋_GB2312" w:hAnsi="宋体" w:eastAsia="仿宋_GB2312" w:cs="宋体"/>
          <w:color w:val="333333"/>
          <w:sz w:val="28"/>
          <w:szCs w:val="28"/>
          <w:lang w:val="en-US" w:eastAsia="zh-CN"/>
        </w:rPr>
        <w:t>1458.69万元，国有农场扶贫项目今年支出391.77万元，农村可再生能源建设今年减少81.5万元</w:t>
      </w:r>
      <w:r>
        <w:rPr>
          <w:rFonts w:hint="eastAsia" w:ascii="仿宋_GB2312" w:hAnsi="宋体" w:eastAsia="仿宋_GB2312" w:cs="宋体"/>
          <w:color w:val="333333"/>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五、一般公共预算财政拨款支出决算情况说明</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（一）财政拨款支出决算总体情况</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2019年度财政拨款支出</w:t>
      </w:r>
      <w:r>
        <w:rPr>
          <w:rFonts w:hint="eastAsia" w:ascii="仿宋_GB2312" w:hAnsi="仿宋_GB2312" w:eastAsia="仿宋_GB2312" w:cs="仿宋_GB2312"/>
          <w:sz w:val="28"/>
          <w:szCs w:val="28"/>
          <w:lang w:val="en-US" w:eastAsia="zh-CN"/>
        </w:rPr>
        <w:t>4258.87</w:t>
      </w:r>
      <w:r>
        <w:rPr>
          <w:rFonts w:hint="eastAsia" w:ascii="仿宋_GB2312" w:hAnsi="仿宋_GB2312" w:eastAsia="仿宋_GB2312" w:cs="仿宋_GB2312"/>
          <w:color w:val="000000"/>
          <w:sz w:val="28"/>
          <w:szCs w:val="28"/>
        </w:rPr>
        <w:t>万元，占本年支出合计的</w:t>
      </w:r>
      <w:r>
        <w:rPr>
          <w:rFonts w:hint="eastAsia" w:ascii="仿宋_GB2312" w:hAnsi="仿宋_GB2312" w:eastAsia="仿宋_GB2312" w:cs="仿宋_GB2312"/>
          <w:color w:val="000000"/>
          <w:sz w:val="28"/>
          <w:szCs w:val="28"/>
          <w:lang w:val="en-US" w:eastAsia="zh-CN"/>
        </w:rPr>
        <w:t>100</w:t>
      </w:r>
      <w:r>
        <w:rPr>
          <w:rFonts w:hint="eastAsia" w:ascii="仿宋_GB2312" w:hAnsi="仿宋_GB2312" w:eastAsia="仿宋_GB2312" w:cs="仿宋_GB2312"/>
          <w:color w:val="000000"/>
          <w:sz w:val="28"/>
          <w:szCs w:val="28"/>
        </w:rPr>
        <w:t>%。与2018年相比，财政拨款支出</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color w:val="000000"/>
          <w:sz w:val="28"/>
          <w:szCs w:val="28"/>
          <w:lang w:val="en-US" w:eastAsia="zh-CN"/>
        </w:rPr>
        <w:t>1663.12</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增加</w:t>
      </w:r>
      <w:r>
        <w:rPr>
          <w:rFonts w:hint="eastAsia" w:ascii="仿宋_GB2312" w:hAnsi="仿宋_GB2312" w:eastAsia="仿宋_GB2312" w:cs="仿宋_GB2312"/>
          <w:color w:val="000000"/>
          <w:sz w:val="28"/>
          <w:szCs w:val="28"/>
          <w:lang w:val="en-US" w:eastAsia="zh-CN"/>
        </w:rPr>
        <w:t>114</w:t>
      </w:r>
      <w:r>
        <w:rPr>
          <w:rFonts w:hint="eastAsia" w:ascii="仿宋_GB2312" w:hAnsi="仿宋_GB2312" w:eastAsia="仿宋_GB2312" w:cs="仿宋_GB2312"/>
          <w:color w:val="000000"/>
          <w:sz w:val="28"/>
          <w:szCs w:val="28"/>
        </w:rPr>
        <w:t>%。主要原因是</w:t>
      </w:r>
      <w:r>
        <w:rPr>
          <w:rFonts w:hint="eastAsia" w:ascii="仿宋_GB2312" w:hAnsi="新宋体" w:eastAsia="仿宋_GB2312"/>
          <w:sz w:val="28"/>
          <w:szCs w:val="28"/>
          <w:lang w:eastAsia="zh-CN"/>
        </w:rPr>
        <w:t>一、基本支出增加</w:t>
      </w:r>
      <w:r>
        <w:rPr>
          <w:rFonts w:hint="eastAsia" w:ascii="仿宋_GB2312" w:hAnsi="新宋体" w:eastAsia="仿宋_GB2312"/>
          <w:sz w:val="28"/>
          <w:szCs w:val="28"/>
          <w:lang w:val="en-US" w:eastAsia="zh-CN"/>
        </w:rPr>
        <w:t>228.51万元。</w:t>
      </w:r>
      <w:r>
        <w:rPr>
          <w:rFonts w:hint="eastAsia" w:ascii="仿宋_GB2312" w:hAnsi="宋体" w:eastAsia="仿宋_GB2312" w:cs="宋体"/>
          <w:color w:val="333333"/>
          <w:sz w:val="28"/>
          <w:szCs w:val="28"/>
          <w:lang w:eastAsia="zh-CN"/>
        </w:rPr>
        <w:t>二、</w:t>
      </w:r>
      <w:r>
        <w:rPr>
          <w:rFonts w:hint="eastAsia" w:ascii="仿宋_GB2312" w:hAnsi="新宋体" w:eastAsia="仿宋_GB2312"/>
          <w:sz w:val="28"/>
          <w:szCs w:val="28"/>
        </w:rPr>
        <w:t>项目支出</w:t>
      </w:r>
      <w:r>
        <w:rPr>
          <w:rFonts w:hint="eastAsia" w:ascii="仿宋_GB2312" w:hAnsi="宋体" w:eastAsia="仿宋_GB2312" w:cs="宋体"/>
          <w:color w:val="333333"/>
          <w:sz w:val="28"/>
          <w:szCs w:val="28"/>
        </w:rPr>
        <w:t>比上年</w:t>
      </w:r>
      <w:r>
        <w:rPr>
          <w:rFonts w:hint="eastAsia" w:ascii="仿宋_GB2312" w:hAnsi="宋体" w:eastAsia="仿宋_GB2312" w:cs="宋体"/>
          <w:color w:val="333333"/>
          <w:sz w:val="28"/>
          <w:szCs w:val="28"/>
          <w:lang w:eastAsia="zh-CN"/>
        </w:rPr>
        <w:t>增加</w:t>
      </w:r>
      <w:r>
        <w:rPr>
          <w:rFonts w:hint="eastAsia" w:ascii="仿宋_GB2312" w:hAnsi="宋体" w:eastAsia="仿宋_GB2312" w:cs="宋体"/>
          <w:color w:val="333333"/>
          <w:sz w:val="28"/>
          <w:szCs w:val="28"/>
          <w:lang w:val="en-US" w:eastAsia="zh-CN"/>
        </w:rPr>
        <w:t>1461.30万</w:t>
      </w:r>
      <w:r>
        <w:rPr>
          <w:rFonts w:hint="eastAsia" w:ascii="仿宋_GB2312" w:hAnsi="新宋体" w:eastAsia="仿宋_GB2312"/>
          <w:sz w:val="28"/>
          <w:szCs w:val="28"/>
        </w:rPr>
        <w:t>元，</w:t>
      </w:r>
      <w:r>
        <w:rPr>
          <w:rFonts w:hint="eastAsia" w:ascii="仿宋_GB2312" w:hAnsi="宋体" w:eastAsia="仿宋_GB2312" w:cs="宋体"/>
          <w:sz w:val="28"/>
          <w:szCs w:val="28"/>
        </w:rPr>
        <w:t>其</w:t>
      </w:r>
      <w:r>
        <w:rPr>
          <w:rFonts w:hint="eastAsia" w:ascii="仿宋_GB2312" w:hAnsi="宋体" w:eastAsia="仿宋_GB2312" w:cs="宋体"/>
          <w:sz w:val="28"/>
          <w:szCs w:val="28"/>
          <w:lang w:eastAsia="zh-CN"/>
        </w:rPr>
        <w:t>增加</w:t>
      </w:r>
      <w:r>
        <w:rPr>
          <w:rFonts w:hint="eastAsia" w:ascii="仿宋_GB2312" w:hAnsi="宋体" w:eastAsia="仿宋_GB2312" w:cs="宋体"/>
          <w:sz w:val="28"/>
          <w:szCs w:val="28"/>
        </w:rPr>
        <w:t>主要原因</w:t>
      </w:r>
      <w:r>
        <w:rPr>
          <w:rFonts w:hint="eastAsia" w:ascii="仿宋_GB2312" w:hAnsi="宋体" w:eastAsia="仿宋_GB2312" w:cs="宋体"/>
          <w:sz w:val="28"/>
          <w:szCs w:val="28"/>
          <w:lang w:eastAsia="zh-CN"/>
        </w:rPr>
        <w:t>是</w:t>
      </w:r>
      <w:r>
        <w:rPr>
          <w:rFonts w:hint="eastAsia" w:ascii="仿宋_GB2312" w:hAnsi="宋体" w:eastAsia="仿宋_GB2312" w:cs="宋体"/>
          <w:color w:val="333333"/>
          <w:sz w:val="28"/>
          <w:szCs w:val="28"/>
          <w:lang w:eastAsia="zh-CN"/>
        </w:rPr>
        <w:t>其他农业项目今年比去年增加支出</w:t>
      </w:r>
      <w:r>
        <w:rPr>
          <w:rFonts w:hint="eastAsia" w:ascii="仿宋_GB2312" w:hAnsi="宋体" w:eastAsia="仿宋_GB2312" w:cs="宋体"/>
          <w:color w:val="333333"/>
          <w:sz w:val="28"/>
          <w:szCs w:val="28"/>
          <w:lang w:val="en-US" w:eastAsia="zh-CN"/>
        </w:rPr>
        <w:t>1458.69万元，国有农场扶贫项目今年支出391.77万元，农村可再生能源建设今年减少81.5万元</w:t>
      </w:r>
      <w:r>
        <w:rPr>
          <w:rFonts w:hint="eastAsia" w:ascii="仿宋_GB2312" w:hAnsi="仿宋_GB2312" w:eastAsia="仿宋_GB2312" w:cs="仿宋_GB2312"/>
          <w:color w:val="000000"/>
          <w:sz w:val="28"/>
          <w:szCs w:val="28"/>
        </w:rPr>
        <w:t>。其中，人员经费1390</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08万元，占比</w:t>
      </w:r>
      <w:r>
        <w:rPr>
          <w:rFonts w:hint="eastAsia" w:ascii="仿宋_GB2312" w:hAnsi="仿宋_GB2312" w:eastAsia="仿宋_GB2312" w:cs="仿宋_GB2312"/>
          <w:color w:val="000000"/>
          <w:sz w:val="28"/>
          <w:szCs w:val="28"/>
          <w:lang w:val="en-US" w:eastAsia="zh-CN"/>
        </w:rPr>
        <w:t>32.64</w:t>
      </w:r>
      <w:r>
        <w:rPr>
          <w:rFonts w:hint="eastAsia" w:ascii="仿宋_GB2312" w:hAnsi="仿宋_GB2312" w:eastAsia="仿宋_GB2312" w:cs="仿宋_GB2312"/>
          <w:color w:val="000000"/>
          <w:sz w:val="28"/>
          <w:szCs w:val="28"/>
        </w:rPr>
        <w:t>%，日常公用经费173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04万元，占比</w:t>
      </w:r>
      <w:r>
        <w:rPr>
          <w:rFonts w:hint="eastAsia" w:ascii="仿宋_GB2312" w:hAnsi="仿宋_GB2312" w:eastAsia="仿宋_GB2312" w:cs="仿宋_GB2312"/>
          <w:color w:val="000000"/>
          <w:sz w:val="28"/>
          <w:szCs w:val="28"/>
          <w:lang w:val="en-US" w:eastAsia="zh-CN"/>
        </w:rPr>
        <w:t>37.71</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（二）财政拨款支出决算结构情况</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2019年度财政拨款支出</w:t>
      </w:r>
      <w:r>
        <w:rPr>
          <w:rFonts w:hint="eastAsia" w:ascii="仿宋_GB2312" w:hAnsi="仿宋_GB2312" w:eastAsia="仿宋_GB2312" w:cs="仿宋_GB2312"/>
          <w:color w:val="auto"/>
          <w:sz w:val="28"/>
          <w:szCs w:val="28"/>
          <w:lang w:val="en-US" w:eastAsia="zh-CN"/>
        </w:rPr>
        <w:t>4258.87</w:t>
      </w:r>
      <w:r>
        <w:rPr>
          <w:rFonts w:hint="eastAsia" w:ascii="仿宋_GB2312" w:hAnsi="仿宋_GB2312" w:eastAsia="仿宋_GB2312" w:cs="仿宋_GB2312"/>
          <w:color w:val="000000"/>
          <w:sz w:val="28"/>
          <w:szCs w:val="28"/>
        </w:rPr>
        <w:t>万元，主要用于以下方面：农林水（类）支出</w:t>
      </w:r>
      <w:r>
        <w:rPr>
          <w:rFonts w:hint="eastAsia" w:ascii="仿宋_GB2312" w:hAnsi="仿宋_GB2312" w:eastAsia="仿宋_GB2312" w:cs="仿宋_GB2312"/>
          <w:color w:val="auto"/>
          <w:sz w:val="28"/>
          <w:szCs w:val="28"/>
          <w:lang w:val="en-US" w:eastAsia="zh-CN"/>
        </w:rPr>
        <w:t>4258.87</w:t>
      </w:r>
      <w:r>
        <w:rPr>
          <w:rFonts w:hint="eastAsia" w:ascii="仿宋_GB2312" w:hAnsi="仿宋_GB2312" w:eastAsia="仿宋_GB2312" w:cs="仿宋_GB2312"/>
          <w:color w:val="000000"/>
          <w:sz w:val="28"/>
          <w:szCs w:val="28"/>
        </w:rPr>
        <w:t>万元，占</w:t>
      </w:r>
      <w:r>
        <w:rPr>
          <w:rFonts w:hint="eastAsia" w:ascii="仿宋_GB2312" w:hAnsi="仿宋_GB2312" w:eastAsia="仿宋_GB2312" w:cs="仿宋_GB2312"/>
          <w:color w:val="000000"/>
          <w:sz w:val="28"/>
          <w:szCs w:val="28"/>
          <w:lang w:val="en-US" w:eastAsia="zh-CN"/>
        </w:rPr>
        <w:t>100</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（三）财政拨款支出决算具体情况</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部门应当根据决算表格数据，按支出功能分类科目说明所有支出完成情况，并说明增减原因。如一般公共服务支出年初预算1404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万元，支出决算1404.29万元，完成年初预算的</w:t>
      </w:r>
      <w:r>
        <w:rPr>
          <w:rFonts w:hint="eastAsia" w:ascii="仿宋_GB2312" w:hAnsi="仿宋_GB2312" w:eastAsia="仿宋_GB2312" w:cs="仿宋_GB2312"/>
          <w:color w:val="000000"/>
          <w:sz w:val="28"/>
          <w:szCs w:val="28"/>
          <w:lang w:val="en-US" w:eastAsia="zh-CN"/>
        </w:rPr>
        <w:t>100</w:t>
      </w:r>
      <w:r>
        <w:rPr>
          <w:rFonts w:hint="eastAsia" w:ascii="仿宋_GB2312" w:hAnsi="仿宋_GB2312" w:eastAsia="仿宋_GB2312" w:cs="仿宋_GB2312"/>
          <w:color w:val="000000"/>
          <w:sz w:val="28"/>
          <w:szCs w:val="28"/>
        </w:rPr>
        <w:t>%，用于</w:t>
      </w:r>
      <w:r>
        <w:rPr>
          <w:rFonts w:hint="eastAsia" w:ascii="仿宋_GB2312" w:hAnsi="仿宋_GB2312" w:eastAsia="仿宋_GB2312" w:cs="仿宋_GB2312"/>
          <w:color w:val="000000"/>
          <w:sz w:val="28"/>
          <w:szCs w:val="28"/>
          <w:lang w:eastAsia="zh-CN"/>
        </w:rPr>
        <w:t>工资福利支出、商品和服务支出、对个人和家庭补助</w:t>
      </w:r>
      <w:r>
        <w:rPr>
          <w:rFonts w:hint="eastAsia" w:ascii="仿宋_GB2312" w:hAnsi="仿宋_GB2312" w:eastAsia="仿宋_GB2312" w:cs="仿宋_GB2312"/>
          <w:color w:val="000000"/>
          <w:sz w:val="28"/>
          <w:szCs w:val="28"/>
        </w:rPr>
        <w:t>。较2018年决算增加956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27万元，增长</w:t>
      </w:r>
      <w:r>
        <w:rPr>
          <w:rFonts w:hint="eastAsia" w:ascii="仿宋_GB2312" w:hAnsi="仿宋_GB2312" w:eastAsia="仿宋_GB2312" w:cs="仿宋_GB2312"/>
          <w:color w:val="000000"/>
          <w:sz w:val="28"/>
          <w:szCs w:val="28"/>
          <w:lang w:val="en-US" w:eastAsia="zh-CN"/>
        </w:rPr>
        <w:t>68.1</w:t>
      </w:r>
      <w:r>
        <w:rPr>
          <w:rFonts w:hint="eastAsia" w:ascii="仿宋_GB2312" w:hAnsi="仿宋_GB2312" w:eastAsia="仿宋_GB2312" w:cs="仿宋_GB2312"/>
          <w:color w:val="000000"/>
          <w:sz w:val="28"/>
          <w:szCs w:val="28"/>
        </w:rPr>
        <w:t>%，主要原因人员调资及退休人员死亡抚恤金追加，本级财政项目追加农业产业规则编制375600元。涉及支出应在专业名词解释中予以说明。</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六、一般公共预算财政拨款基本支出决算情况说明</w:t>
      </w:r>
    </w:p>
    <w:p>
      <w:pPr>
        <w:spacing w:line="52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2019年度财政拨款基本支出</w:t>
      </w:r>
      <w:r>
        <w:rPr>
          <w:rFonts w:hint="eastAsia" w:ascii="仿宋_GB2312" w:hAnsi="仿宋_GB2312" w:eastAsia="仿宋_GB2312" w:cs="仿宋_GB2312"/>
          <w:color w:val="000000"/>
          <w:sz w:val="28"/>
          <w:szCs w:val="28"/>
          <w:lang w:val="en-US" w:eastAsia="zh-CN"/>
        </w:rPr>
        <w:t>1563.12</w:t>
      </w:r>
      <w:r>
        <w:rPr>
          <w:rFonts w:hint="eastAsia" w:ascii="仿宋_GB2312" w:hAnsi="仿宋_GB2312" w:eastAsia="仿宋_GB2312" w:cs="仿宋_GB2312"/>
          <w:color w:val="000000"/>
          <w:sz w:val="28"/>
          <w:szCs w:val="28"/>
        </w:rPr>
        <w:t>万元，其中：人员经费1390</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08万元，主要包括</w:t>
      </w:r>
      <w:r>
        <w:rPr>
          <w:rFonts w:hint="eastAsia" w:ascii="仿宋_GB2312" w:hAnsi="仿宋_GB2312" w:eastAsia="仿宋_GB2312" w:cs="仿宋_GB2312"/>
          <w:color w:val="000000"/>
          <w:sz w:val="28"/>
          <w:szCs w:val="28"/>
          <w:lang w:eastAsia="zh-CN"/>
        </w:rPr>
        <w:t>工资福利支出、对个人和家庭补助两项</w:t>
      </w:r>
      <w:r>
        <w:rPr>
          <w:rFonts w:hint="eastAsia" w:ascii="仿宋_GB2312" w:hAnsi="仿宋_GB2312" w:eastAsia="仿宋_GB2312" w:cs="仿宋_GB2312"/>
          <w:color w:val="000000"/>
          <w:sz w:val="28"/>
          <w:szCs w:val="28"/>
        </w:rPr>
        <w:t>；公用经费173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04万元，主要包括</w:t>
      </w:r>
      <w:r>
        <w:rPr>
          <w:rFonts w:hint="eastAsia" w:ascii="仿宋_GB2312" w:hAnsi="仿宋_GB2312" w:eastAsia="仿宋_GB2312" w:cs="仿宋_GB2312"/>
          <w:color w:val="000000"/>
          <w:sz w:val="28"/>
          <w:szCs w:val="28"/>
          <w:lang w:eastAsia="zh-CN"/>
        </w:rPr>
        <w:t>商品和服务支出</w:t>
      </w:r>
      <w:r>
        <w:rPr>
          <w:rFonts w:hint="eastAsia" w:ascii="仿宋_GB2312" w:hAnsi="仿宋_GB2312" w:eastAsia="仿宋_GB2312" w:cs="仿宋_GB2312"/>
          <w:color w:val="000000"/>
          <w:sz w:val="28"/>
          <w:szCs w:val="28"/>
        </w:rPr>
        <w:t>。</w:t>
      </w:r>
    </w:p>
    <w:p>
      <w:pPr>
        <w:spacing w:line="5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七、一般公共预算财政拨款“三公”经费支出决算情况说明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2019年度，“三公”经费财政拨款支出决算为</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88</w:t>
      </w:r>
      <w:r>
        <w:rPr>
          <w:rFonts w:hint="eastAsia" w:ascii="仿宋_GB2312" w:hAnsi="仿宋_GB2312" w:eastAsia="仿宋_GB2312" w:cs="仿宋_GB2312"/>
          <w:color w:val="000000"/>
          <w:sz w:val="32"/>
          <w:szCs w:val="32"/>
        </w:rPr>
        <w:t>%，比上年减少</w:t>
      </w:r>
      <w:r>
        <w:rPr>
          <w:rFonts w:hint="eastAsia" w:ascii="仿宋_GB2312" w:hAnsi="仿宋_GB2312" w:eastAsia="仿宋_GB2312" w:cs="仿宋_GB2312"/>
          <w:color w:val="000000"/>
          <w:sz w:val="32"/>
          <w:szCs w:val="32"/>
          <w:lang w:val="en-US" w:eastAsia="zh-CN"/>
        </w:rPr>
        <w:t>0.18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%，原因是：</w:t>
      </w:r>
      <w:r>
        <w:rPr>
          <w:rFonts w:hint="eastAsia" w:ascii="仿宋_GB2312" w:hAnsi="仿宋_GB2312" w:eastAsia="仿宋_GB2312" w:cs="仿宋_GB2312"/>
          <w:color w:val="000000"/>
          <w:sz w:val="32"/>
          <w:szCs w:val="32"/>
          <w:lang w:eastAsia="zh-CN"/>
        </w:rPr>
        <w:t>公务用车减少</w:t>
      </w:r>
      <w:r>
        <w:rPr>
          <w:rFonts w:hint="eastAsia" w:ascii="仿宋_GB2312" w:hAnsi="仿宋_GB2312" w:eastAsia="仿宋_GB2312" w:cs="仿宋_GB2312"/>
          <w:color w:val="000000"/>
          <w:sz w:val="32"/>
          <w:szCs w:val="32"/>
        </w:rPr>
        <w:t>。其中：因公出国（境）费支出决算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万元，占比</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%，比上年减少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%；公务用车购置及运行费支出决算</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color w:val="000000"/>
          <w:sz w:val="32"/>
          <w:szCs w:val="32"/>
        </w:rPr>
        <w:t>万元，占比</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%，比上年减少</w:t>
      </w:r>
      <w:r>
        <w:rPr>
          <w:rFonts w:hint="eastAsia" w:ascii="仿宋_GB2312" w:hAnsi="仿宋_GB2312" w:eastAsia="仿宋_GB2312" w:cs="仿宋_GB2312"/>
          <w:color w:val="000000"/>
          <w:sz w:val="32"/>
          <w:szCs w:val="32"/>
          <w:lang w:val="en-US" w:eastAsia="zh-CN"/>
        </w:rPr>
        <w:t>0.18</w:t>
      </w:r>
      <w:bookmarkStart w:id="0" w:name="_GoBack"/>
      <w:bookmarkEnd w:id="0"/>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，减少原因是单位公务用车减少</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比%，比上年减少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%。具体情况如下：</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八、其他重要事项情况说明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（一）机关运行经费支出情况说明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2019年本部门机关运行经费支出</w:t>
      </w:r>
      <w:r>
        <w:rPr>
          <w:rFonts w:hint="eastAsia" w:ascii="仿宋_GB2312" w:hAnsi="仿宋_GB2312" w:eastAsia="仿宋_GB2312" w:cs="仿宋_GB2312"/>
          <w:sz w:val="32"/>
          <w:szCs w:val="32"/>
          <w:lang w:val="en-US" w:eastAsia="zh-CN"/>
        </w:rPr>
        <w:t>177.31</w:t>
      </w:r>
      <w:r>
        <w:rPr>
          <w:rFonts w:hint="eastAsia" w:ascii="仿宋_GB2312" w:hAnsi="仿宋_GB2312" w:eastAsia="仿宋_GB2312" w:cs="仿宋_GB2312"/>
          <w:color w:val="000000"/>
          <w:sz w:val="32"/>
          <w:szCs w:val="32"/>
        </w:rPr>
        <w:t>万元，比2018年增加</w:t>
      </w:r>
      <w:r>
        <w:rPr>
          <w:rFonts w:hint="eastAsia" w:ascii="仿宋_GB2312" w:hAnsi="仿宋_GB2312" w:eastAsia="仿宋_GB2312" w:cs="仿宋_GB2312"/>
          <w:sz w:val="32"/>
          <w:szCs w:val="32"/>
          <w:lang w:val="en-US" w:eastAsia="zh-CN"/>
        </w:rPr>
        <w:t>63.92</w:t>
      </w:r>
      <w:r>
        <w:rPr>
          <w:rFonts w:hint="eastAsia" w:ascii="仿宋_GB2312" w:hAnsi="仿宋_GB2312" w:eastAsia="仿宋_GB2312" w:cs="仿宋_GB2312"/>
          <w:color w:val="000000"/>
          <w:sz w:val="32"/>
          <w:szCs w:val="32"/>
        </w:rPr>
        <w:t>万元，增长%。主要原因是</w:t>
      </w:r>
      <w:r>
        <w:rPr>
          <w:rFonts w:hint="eastAsia" w:ascii="仿宋_GB2312" w:hAnsi="仿宋_GB2312" w:eastAsia="仿宋_GB2312" w:cs="仿宋_GB2312"/>
          <w:sz w:val="32"/>
          <w:szCs w:val="32"/>
          <w:lang w:val="en-US" w:eastAsia="zh-CN"/>
        </w:rPr>
        <w:t>支出2018年乡村振兴规划委托业务费96.53万元</w:t>
      </w:r>
      <w:r>
        <w:rPr>
          <w:rFonts w:hint="eastAsia" w:ascii="仿宋_GB2312" w:hAnsi="仿宋_GB2312" w:eastAsia="仿宋_GB2312" w:cs="仿宋_GB2312"/>
          <w:color w:val="000000"/>
          <w:sz w:val="32"/>
          <w:szCs w:val="32"/>
        </w:rPr>
        <w:t>。</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（二）政府采购情况说明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2019年度，政府采购支出总额</w:t>
      </w:r>
      <w:r>
        <w:rPr>
          <w:rFonts w:hint="eastAsia" w:ascii="仿宋_GB2312" w:hAnsi="仿宋_GB2312" w:eastAsia="仿宋_GB2312" w:cs="仿宋_GB2312"/>
          <w:sz w:val="32"/>
          <w:szCs w:val="32"/>
          <w:lang w:val="en-US" w:eastAsia="zh-CN"/>
        </w:rPr>
        <w:t>1390.30</w:t>
      </w:r>
      <w:r>
        <w:rPr>
          <w:rFonts w:hint="eastAsia" w:ascii="仿宋_GB2312" w:hAnsi="仿宋_GB2312" w:eastAsia="仿宋_GB2312" w:cs="仿宋_GB2312"/>
          <w:color w:val="000000"/>
          <w:sz w:val="32"/>
          <w:szCs w:val="32"/>
        </w:rPr>
        <w:t>万元，其中：政府采购货物支出</w:t>
      </w:r>
      <w:r>
        <w:rPr>
          <w:rFonts w:hint="eastAsia" w:ascii="仿宋_GB2312" w:hAnsi="仿宋_GB2312" w:eastAsia="仿宋_GB2312" w:cs="仿宋_GB2312"/>
          <w:sz w:val="32"/>
          <w:szCs w:val="32"/>
          <w:lang w:val="en-US" w:eastAsia="zh-CN"/>
        </w:rPr>
        <w:t>321.25</w:t>
      </w:r>
      <w:r>
        <w:rPr>
          <w:rFonts w:hint="eastAsia" w:ascii="仿宋_GB2312" w:hAnsi="仿宋_GB2312" w:eastAsia="仿宋_GB2312" w:cs="仿宋_GB2312"/>
          <w:color w:val="000000"/>
          <w:sz w:val="32"/>
          <w:szCs w:val="32"/>
        </w:rPr>
        <w:t>万元、政府采购工程支出</w:t>
      </w:r>
      <w:r>
        <w:rPr>
          <w:rFonts w:hint="eastAsia" w:ascii="仿宋_GB2312" w:hAnsi="仿宋_GB2312" w:eastAsia="仿宋_GB2312" w:cs="仿宋_GB2312"/>
          <w:sz w:val="32"/>
          <w:szCs w:val="32"/>
          <w:lang w:val="en-US" w:eastAsia="zh-CN"/>
        </w:rPr>
        <w:t>1062.00</w:t>
      </w:r>
      <w:r>
        <w:rPr>
          <w:rFonts w:hint="eastAsia" w:ascii="仿宋_GB2312" w:hAnsi="仿宋_GB2312" w:eastAsia="仿宋_GB2312" w:cs="仿宋_GB2312"/>
          <w:color w:val="000000"/>
          <w:sz w:val="32"/>
          <w:szCs w:val="32"/>
        </w:rPr>
        <w:t>万元、政府采购服务支出</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color w:val="000000"/>
          <w:sz w:val="32"/>
          <w:szCs w:val="32"/>
        </w:rPr>
        <w:t>万元。</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（三）国有资产占用情况说明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截至2019年12月31日，本部门共有车辆</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其中，副部（省）级及以上领导用车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辆、执法执勤用车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辆、特种专业技术用车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辆、离退休干部用车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辆；单价50万元（含）以上的通用设备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台（套），单价100万元（含）以上专用设备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（四）预算绩效情况说明</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预算绩效管理工作开展情况。应当按照如下格式说明：根据预算绩效管理要求，我部门组织对2019年度省级财政预算安排的事业发展类项目、专项转移支付类项目和300万元以上的经费补助类项目支出全面开展绩效自评，共涉及资金</w:t>
      </w:r>
      <w:r>
        <w:rPr>
          <w:rFonts w:hint="eastAsia" w:ascii="仿宋_GB2312" w:hAnsi="仿宋_GB2312" w:eastAsia="仿宋_GB2312" w:cs="仿宋_GB2312"/>
          <w:color w:val="000000"/>
          <w:sz w:val="32"/>
          <w:szCs w:val="32"/>
          <w:lang w:val="en-US" w:eastAsia="zh-CN"/>
        </w:rPr>
        <w:t>698</w:t>
      </w:r>
      <w:r>
        <w:rPr>
          <w:rFonts w:hint="eastAsia" w:ascii="仿宋_GB2312" w:hAnsi="仿宋_GB2312" w:eastAsia="仿宋_GB2312" w:cs="仿宋_GB2312"/>
          <w:color w:val="000000"/>
          <w:sz w:val="32"/>
          <w:szCs w:val="32"/>
        </w:rPr>
        <w:t>万元，占一般公共预算项目支出总额的</w:t>
      </w:r>
      <w:r>
        <w:rPr>
          <w:rFonts w:hint="eastAsia" w:ascii="仿宋_GB2312" w:hAnsi="仿宋_GB2312" w:eastAsia="仿宋_GB2312" w:cs="仿宋_GB2312"/>
          <w:color w:val="000000"/>
          <w:sz w:val="32"/>
          <w:szCs w:val="32"/>
          <w:lang w:val="en-US" w:eastAsia="zh-CN"/>
        </w:rPr>
        <w:t>49.71</w:t>
      </w:r>
      <w:r>
        <w:rPr>
          <w:rFonts w:hint="eastAsia" w:ascii="仿宋_GB2312" w:hAnsi="仿宋_GB2312" w:eastAsia="仿宋_GB2312" w:cs="仿宋_GB2312"/>
          <w:color w:val="000000"/>
          <w:sz w:val="32"/>
          <w:szCs w:val="32"/>
        </w:rPr>
        <w:t>%。组织对2019年度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个政府性基金预算项目支出开展绩效自评，共涉及资金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万元，占政府性基金预算项目支出总额的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个项目开展了部门评价，涉及一般公共预算支出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万元，政府性基金预算支出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sz w:val="32"/>
          <w:szCs w:val="32"/>
          <w:lang w:eastAsia="zh-CN"/>
        </w:rPr>
        <w:t>没有</w:t>
      </w:r>
      <w:r>
        <w:rPr>
          <w:rFonts w:hint="eastAsia" w:ascii="仿宋_GB2312" w:hAnsi="仿宋_GB2312" w:eastAsia="仿宋_GB2312" w:cs="仿宋_GB2312"/>
          <w:color w:val="000000"/>
          <w:sz w:val="32"/>
          <w:szCs w:val="32"/>
        </w:rPr>
        <w:t>委托第三方机构开展</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绩效评价。</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rPr>
        <w:t>（2）部门决算中项目绩效自评结果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我部门今年在部门决算中反映</w:t>
      </w:r>
      <w:r>
        <w:rPr>
          <w:rFonts w:hint="eastAsia" w:ascii="仿宋_GB2312" w:hAnsi="仿宋_GB2312" w:eastAsia="仿宋_GB2312" w:cs="仿宋_GB2312"/>
          <w:color w:val="000000"/>
          <w:sz w:val="32"/>
          <w:szCs w:val="32"/>
          <w:lang w:eastAsia="zh-CN"/>
        </w:rPr>
        <w:t>：</w:t>
      </w:r>
      <w:r>
        <w:rPr>
          <w:rStyle w:val="6"/>
          <w:rFonts w:hint="eastAsia" w:ascii="仿宋_GB2312" w:hAnsi="仿宋_GB2312" w:eastAsia="仿宋_GB2312" w:cs="仿宋_GB2312"/>
          <w:b w:val="0"/>
          <w:bCs w:val="0"/>
          <w:kern w:val="2"/>
          <w:sz w:val="32"/>
          <w:szCs w:val="32"/>
          <w:lang w:val="en-US" w:eastAsia="zh-CN" w:bidi="ar-SA"/>
        </w:rPr>
        <w:t>小麦绿色高质高效、</w:t>
      </w:r>
      <w:r>
        <w:rPr>
          <w:rFonts w:hint="eastAsia" w:ascii="仿宋_GB2312" w:hAnsi="仿宋_GB2312" w:eastAsia="仿宋_GB2312" w:cs="仿宋_GB2312"/>
          <w:b w:val="0"/>
          <w:bCs w:val="0"/>
          <w:color w:val="auto"/>
          <w:sz w:val="32"/>
          <w:szCs w:val="32"/>
          <w:lang w:val="en-US" w:eastAsia="zh-CN"/>
        </w:rPr>
        <w:t>草地贪夜蛾</w:t>
      </w:r>
      <w:r>
        <w:rPr>
          <w:rFonts w:hint="eastAsia" w:ascii="仿宋_GB2312" w:hAnsi="仿宋_GB2312" w:eastAsia="仿宋_GB2312" w:cs="仿宋_GB2312"/>
          <w:b w:val="0"/>
          <w:bCs w:val="0"/>
          <w:color w:val="auto"/>
          <w:sz w:val="32"/>
          <w:szCs w:val="32"/>
        </w:rPr>
        <w:t>防控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农产品质量安全创建。</w:t>
      </w:r>
      <w:r>
        <w:rPr>
          <w:rFonts w:hint="eastAsia" w:ascii="仿宋_GB2312" w:hAnsi="仿宋_GB2312" w:eastAsia="仿宋_GB2312" w:cs="仿宋_GB2312"/>
          <w:b w:val="0"/>
          <w:bCs w:val="0"/>
          <w:color w:val="auto"/>
          <w:sz w:val="32"/>
          <w:szCs w:val="32"/>
          <w:lang w:val="en-US" w:eastAsia="zh-CN"/>
        </w:rPr>
        <w:t>今年小麦绿色高质高效项目小麦种子补助标准50元/亩，补助面积27872亩；有机肥补助标准40元/亩，补助面积12030亩；微生物菌剂补助标准40元/亩，补助面积7204亩；小麦专用肥补助标准120元/亩，补助面积3500亩；有机硒补助标准60元/亩，补助面积500亩；新技术展示试验示范补助标准600元/亩，补助面积10亩；物联网监测系统安装补助标准19.25万元，安装1套物联网监测系统；小麦播种补贴标准28元/亩，补助面积3500亩；统防统治补贴标准13元/亩，补助面积10382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在中心测报场（栲栳良种场）安装草地贪夜蛾4G虫情测报灯1台、设置观测点30个、发放诱捕器100个，统防统治草地贪夜蛾为害面积8000余亩，群防群治面积15万亩次，发放各种应急防治药剂700余公斤；</w:t>
      </w:r>
      <w:r>
        <w:rPr>
          <w:rFonts w:hint="eastAsia" w:ascii="仿宋_GB2312" w:hAnsi="仿宋_GB2312" w:eastAsia="仿宋_GB2312" w:cs="仿宋_GB2312"/>
          <w:b w:val="0"/>
          <w:bCs w:val="0"/>
          <w:color w:val="auto"/>
          <w:sz w:val="32"/>
          <w:szCs w:val="32"/>
          <w:lang w:val="en-US" w:eastAsia="zh-CN"/>
        </w:rPr>
        <w:t>指导完成3000余批次主要农产品农残速测任务，</w:t>
      </w:r>
      <w:r>
        <w:rPr>
          <w:rFonts w:hint="eastAsia" w:ascii="仿宋_GB2312" w:hAnsi="仿宋_GB2312" w:eastAsia="仿宋_GB2312" w:cs="仿宋_GB2312"/>
          <w:b w:val="0"/>
          <w:bCs w:val="0"/>
          <w:sz w:val="32"/>
          <w:szCs w:val="32"/>
          <w:lang w:val="en-US" w:eastAsia="zh-CN"/>
        </w:rPr>
        <w:t>配合省市完成监督抽查、例行监测5次、样品50个，</w:t>
      </w:r>
      <w:r>
        <w:rPr>
          <w:rFonts w:hint="eastAsia" w:ascii="仿宋_GB2312" w:hAnsi="仿宋_GB2312" w:eastAsia="仿宋_GB2312" w:cs="仿宋_GB2312"/>
          <w:b w:val="0"/>
          <w:bCs w:val="0"/>
          <w:color w:val="auto"/>
          <w:sz w:val="32"/>
          <w:szCs w:val="32"/>
          <w:lang w:val="en-US" w:eastAsia="zh-CN"/>
        </w:rPr>
        <w:t>合格率达97.5%以上。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小麦绿色高质高效项目绩效自评综述：根据年初设定的绩效目标，项目自评得分为</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分。全年预算数为</w:t>
      </w:r>
      <w:r>
        <w:rPr>
          <w:rFonts w:hint="eastAsia" w:ascii="仿宋_GB2312" w:hAnsi="仿宋_GB2312" w:eastAsia="仿宋_GB2312" w:cs="仿宋_GB2312"/>
          <w:color w:val="000000"/>
          <w:sz w:val="32"/>
          <w:szCs w:val="32"/>
          <w:lang w:val="en-US" w:eastAsia="zh-CN"/>
        </w:rPr>
        <w:t>320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320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%。项目绩效目标完成情况：一是物化补助258.96171万元；二是社会化服务补助9.324万元，具体为小麦宽幅播种补助9.5万元，补贴面积3920亩</w:t>
      </w:r>
      <w:r>
        <w:rPr>
          <w:rFonts w:hint="eastAsia" w:ascii="仿宋_GB2312" w:hAnsi="仿宋_GB2312" w:eastAsia="仿宋_GB2312" w:cs="仿宋_GB2312"/>
          <w:color w:val="000000"/>
          <w:sz w:val="32"/>
          <w:szCs w:val="32"/>
          <w:lang w:eastAsia="zh-CN"/>
        </w:rPr>
        <w:t>；三是技术推广服务补助2.888675万元，主要为技术培训、肥料样品检测费、试验田种子以及农技人员下乡指导等费用</w:t>
      </w:r>
      <w:r>
        <w:rPr>
          <w:rFonts w:hint="eastAsia" w:ascii="仿宋_GB2312" w:hAnsi="仿宋_GB2312" w:eastAsia="仿宋_GB2312" w:cs="仿宋_GB2312"/>
          <w:color w:val="000000"/>
          <w:sz w:val="32"/>
          <w:szCs w:val="32"/>
        </w:rPr>
        <w:t>。发现的主要问题及原因：一是</w:t>
      </w:r>
      <w:r>
        <w:rPr>
          <w:rFonts w:hint="eastAsia" w:ascii="仿宋_GB2312" w:hAnsi="仿宋_GB2312" w:eastAsia="仿宋_GB2312" w:cs="仿宋_GB2312"/>
          <w:color w:val="000000"/>
          <w:sz w:val="32"/>
          <w:szCs w:val="32"/>
          <w:lang w:eastAsia="zh-CN"/>
        </w:rPr>
        <w:t>由于农时原因，项目未能及时达成绩效目标</w:t>
      </w:r>
      <w:r>
        <w:rPr>
          <w:rFonts w:hint="eastAsia" w:ascii="仿宋_GB2312" w:hAnsi="仿宋_GB2312" w:eastAsia="仿宋_GB2312" w:cs="仿宋_GB2312"/>
          <w:color w:val="000000"/>
          <w:sz w:val="32"/>
          <w:szCs w:val="32"/>
        </w:rPr>
        <w:t>。下一步改进措施：一是</w:t>
      </w:r>
      <w:r>
        <w:rPr>
          <w:rFonts w:hint="eastAsia" w:ascii="仿宋_GB2312" w:hAnsi="仿宋_GB2312" w:eastAsia="仿宋_GB2312" w:cs="仿宋_GB2312"/>
          <w:sz w:val="32"/>
          <w:szCs w:val="32"/>
          <w:lang w:val="en-US" w:eastAsia="zh-CN"/>
        </w:rPr>
        <w:t>我们将在以后的工作中继续加强项目区小麦春季和中后期管理，以超额完成项目年度指标任务。</w:t>
      </w:r>
      <w:r>
        <w:rPr>
          <w:rFonts w:hint="eastAsia" w:ascii="仿宋_GB2312" w:hAnsi="仿宋_GB2312" w:eastAsia="仿宋_GB2312" w:cs="仿宋_GB2312"/>
          <w:b w:val="0"/>
          <w:bCs w:val="0"/>
          <w:color w:val="auto"/>
          <w:sz w:val="32"/>
          <w:szCs w:val="32"/>
          <w:lang w:val="en-US" w:eastAsia="zh-CN"/>
        </w:rPr>
        <w:t>草地贪夜蛾</w:t>
      </w:r>
      <w:r>
        <w:rPr>
          <w:rFonts w:hint="eastAsia" w:ascii="仿宋_GB2312" w:hAnsi="仿宋_GB2312" w:eastAsia="仿宋_GB2312" w:cs="仿宋_GB2312"/>
          <w:b w:val="0"/>
          <w:bCs w:val="0"/>
          <w:color w:val="auto"/>
          <w:sz w:val="32"/>
          <w:szCs w:val="32"/>
        </w:rPr>
        <w:t>防控</w:t>
      </w:r>
      <w:r>
        <w:rPr>
          <w:rFonts w:hint="eastAsia" w:ascii="仿宋_GB2312" w:hAnsi="仿宋_GB2312" w:eastAsia="仿宋_GB2312" w:cs="仿宋_GB2312"/>
          <w:color w:val="000000"/>
          <w:sz w:val="32"/>
          <w:szCs w:val="32"/>
        </w:rPr>
        <w:t>项目绩效自评综述：根据年初设定的绩效目标，项目自评得分为</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分。全年预算数为</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%。项目绩效目标完成情况：一是</w:t>
      </w:r>
      <w:r>
        <w:rPr>
          <w:rFonts w:hint="eastAsia" w:ascii="仿宋_GB2312" w:hAnsi="仿宋_GB2312" w:eastAsia="仿宋_GB2312" w:cs="仿宋_GB2312"/>
          <w:sz w:val="32"/>
          <w:szCs w:val="32"/>
        </w:rPr>
        <w:t>全面普查，重点调查，及时发现草地贪夜蛾虫情</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rPr>
        <w:t>重点发生区域防控处置率达90%以上，有效控制草地贪夜蛾发生态势，不大面积暴发成灾</w:t>
      </w:r>
      <w:r>
        <w:rPr>
          <w:rFonts w:hint="eastAsia" w:ascii="仿宋_GB2312" w:hAnsi="仿宋_GB2312" w:eastAsia="仿宋_GB2312" w:cs="仿宋_GB2312"/>
          <w:color w:val="000000"/>
          <w:sz w:val="32"/>
          <w:szCs w:val="32"/>
        </w:rPr>
        <w:t>。发现的主要问题及原因：一是</w:t>
      </w:r>
      <w:r>
        <w:rPr>
          <w:rFonts w:hint="eastAsia" w:ascii="仿宋_GB2312" w:hAnsi="仿宋_GB2312" w:eastAsia="仿宋_GB2312" w:cs="仿宋_GB2312"/>
          <w:sz w:val="32"/>
          <w:szCs w:val="32"/>
        </w:rPr>
        <w:t>宣传培训力度不够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下一步改进措施：一是</w:t>
      </w:r>
      <w:r>
        <w:rPr>
          <w:rFonts w:hint="eastAsia" w:ascii="仿宋_GB2312" w:hAnsi="仿宋_GB2312" w:eastAsia="仿宋_GB2312" w:cs="仿宋_GB2312"/>
          <w:sz w:val="32"/>
          <w:szCs w:val="32"/>
        </w:rPr>
        <w:t>建议加大资金投入力度，扩大防控规模，确保农业生产安全。草地贪夜蛾的发生将会成为常态，明年防控任务会更艰巨</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rPr>
        <w:t>大宣传培训力度。提高农民对草地贪夜蛾危害严重性和统防统治好处的认识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sz w:val="32"/>
          <w:szCs w:val="32"/>
          <w:lang w:val="en-US" w:eastAsia="zh-CN"/>
        </w:rPr>
        <w:t>农产品质量安全创建</w:t>
      </w:r>
      <w:r>
        <w:rPr>
          <w:rFonts w:hint="eastAsia" w:ascii="仿宋_GB2312" w:hAnsi="仿宋_GB2312" w:eastAsia="仿宋_GB2312" w:cs="仿宋_GB2312"/>
          <w:color w:val="000000"/>
          <w:sz w:val="32"/>
          <w:szCs w:val="32"/>
        </w:rPr>
        <w:t>项目绩效自评综述：根据年初设定的绩效目标，项目自评得分为</w:t>
      </w:r>
      <w:r>
        <w:rPr>
          <w:rFonts w:hint="eastAsia" w:ascii="仿宋_GB2312" w:hAnsi="仿宋_GB2312" w:eastAsia="仿宋_GB2312" w:cs="仿宋_GB2312"/>
          <w:color w:val="000000"/>
          <w:sz w:val="32"/>
          <w:szCs w:val="32"/>
          <w:lang w:val="en-US" w:eastAsia="zh-CN"/>
        </w:rPr>
        <w:t>93.4</w:t>
      </w:r>
      <w:r>
        <w:rPr>
          <w:rFonts w:hint="eastAsia" w:ascii="仿宋_GB2312" w:hAnsi="仿宋_GB2312" w:eastAsia="仿宋_GB2312" w:cs="仿宋_GB2312"/>
          <w:color w:val="000000"/>
          <w:sz w:val="32"/>
          <w:szCs w:val="32"/>
        </w:rPr>
        <w:t>分。全年预算数为</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万元，执行数为</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%。项目绩效目标完成情况：一是</w:t>
      </w:r>
      <w:r>
        <w:rPr>
          <w:rFonts w:hint="eastAsia" w:ascii="仿宋_GB2312" w:hAnsi="仿宋_GB2312" w:eastAsia="仿宋_GB2312" w:cs="仿宋_GB2312"/>
          <w:sz w:val="32"/>
          <w:szCs w:val="32"/>
        </w:rPr>
        <w:t>按照“三品一标”认证程序，帮助、扶持7个新认证机构，获得了省农产品质量安全中心颁发的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无公害农产品”证书，涉及葡萄、冬枣、蔬菜、小麦、核桃等“无公害农产品”认证面积36600亩，完成复查换证4个，复查换证面积52635亩，凡谷农业的番茄和爱卿农业公司的冬枣2个产品通过了省农产品质量安全中心绿色食品现场检查和申报材料审核。全市“三品一标”累计面积和标准化生产示范区面积达到了45万亩，占生产总面积的50%以上</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shd w:val="clear" w:color="auto" w:fill="FFFFFF"/>
        </w:rPr>
        <w:t>按照“永济市2018年种植业农产品质量安全监测方案”的要求，</w:t>
      </w:r>
      <w:r>
        <w:rPr>
          <w:rFonts w:hint="eastAsia" w:ascii="仿宋_GB2312" w:hAnsi="仿宋_GB2312" w:eastAsia="仿宋_GB2312" w:cs="仿宋_GB2312"/>
          <w:sz w:val="32"/>
          <w:szCs w:val="32"/>
        </w:rPr>
        <w:t>构建了以市农产品质量综合检验检测中心为龙头、镇检测室为支点的监测网络，同时</w:t>
      </w:r>
      <w:r>
        <w:rPr>
          <w:rFonts w:hint="eastAsia" w:ascii="仿宋_GB2312" w:hAnsi="仿宋_GB2312" w:eastAsia="仿宋_GB2312" w:cs="仿宋_GB2312"/>
          <w:sz w:val="32"/>
          <w:szCs w:val="32"/>
          <w:shd w:val="clear" w:color="auto" w:fill="FFFFFF"/>
        </w:rPr>
        <w:t>为2个产业示范基地配备了速测设备，</w:t>
      </w:r>
      <w:r>
        <w:rPr>
          <w:rFonts w:hint="eastAsia" w:ascii="仿宋_GB2312" w:hAnsi="仿宋_GB2312" w:eastAsia="仿宋_GB2312" w:cs="仿宋_GB2312"/>
          <w:color w:val="000000"/>
          <w:sz w:val="32"/>
          <w:szCs w:val="32"/>
        </w:rPr>
        <w:t>结合生产企业自检，充分发挥市、镇、基地三级检测力量，</w:t>
      </w:r>
      <w:r>
        <w:rPr>
          <w:rFonts w:hint="eastAsia" w:ascii="仿宋_GB2312" w:hAnsi="仿宋_GB2312" w:eastAsia="仿宋_GB2312" w:cs="仿宋_GB2312"/>
          <w:sz w:val="32"/>
          <w:szCs w:val="32"/>
        </w:rPr>
        <w:t>实现对所有农产品产地抽检和自检。今年根据不同的农时季节，以蔬菜、水果、山药为重点，开展鲜活农产品采前抽检和检验检测3000余批次，抽检基本合格，主要农产品农残速测合格率98%以上，坚决杜绝问题农产品流入市场</w:t>
      </w:r>
      <w:r>
        <w:rPr>
          <w:rFonts w:hint="eastAsia" w:ascii="仿宋_GB2312" w:hAnsi="仿宋_GB2312" w:eastAsia="仿宋_GB2312" w:cs="仿宋_GB2312"/>
          <w:sz w:val="32"/>
          <w:szCs w:val="32"/>
          <w:lang w:eastAsia="zh-CN"/>
        </w:rPr>
        <w:t>。</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（附公开项目对应的绩效自评价评分表，自评价评分表从预算绩效管理信息系统中自评模块下载）</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（3）财政评价项目绩效评价结果。按照省财政厅提供的报告公开。</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（3）部门评价项目绩效评价结果。部门组织开展的重点项目绩效评价报告向社会公开，报告框架参照所附《故宫博物院古建整体保护维修项目绩效评价报告》。</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（绩效评价报告以附件形式公开）</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（五）其他需要说明的事项</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第四部分  名词解释</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部门应当按照部门预算管理要求，对本部门涉及的专业名词进行解释。</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一、财政拨款收入：指单位从同级财政部门取得的财政预算资金。</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二、事业收入：指事业单位开展专业业务活动及辅助活动取得的收入。</w:t>
      </w:r>
    </w:p>
    <w:p>
      <w:pPr>
        <w:spacing w:line="520" w:lineRule="exact"/>
        <w:ind w:firstLine="645"/>
        <w:rPr>
          <w:rFonts w:hint="eastAsia" w:ascii="仿宋_GB2312" w:hAnsi="仿宋_GB2312" w:eastAsia="仿宋_GB2312" w:cs="仿宋_GB231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年初结转和结余：指单位以前年度尚未完成、结转到本年按有关规定继续使用的资金。</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、机关运行经费：指行政单位和参照公务员法管理的事业单位使用一般公共预算安排的基本支出中的日常公用经费支出。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耕地地力保护补贴：就是原来的农业三项合并的一种新型的耕地补贴，耕地地力保护补贴以绿色生态为导向，推进农业“三项补贴”由激励性补贴向功能性补贴转变，由覆盖性补贴向环节性补贴转变，提高补贴政策的指向性、精准性和实效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12316村级信息服务站是农业部信息进村入户工程，在统筹城乡均衡发展、缩小数字鸿沟，将农业信息资源服务延伸到乡村和农户，通过开展农业公益服务、便民服务、电子商务服务、培训体验服务提高农民的现代信息技术应用水平，为农民解决农业生产上的产前、产中、产后问题和日常健康生活等问题，实现普通农户不出村、新型农业经营主体不出户就可享受到便捷、经济、高效的生活信息服务。</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E8C6F"/>
    <w:multiLevelType w:val="singleLevel"/>
    <w:tmpl w:val="50EE8C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57DEE"/>
    <w:rsid w:val="00123BF2"/>
    <w:rsid w:val="005240BB"/>
    <w:rsid w:val="02797B5E"/>
    <w:rsid w:val="042455E0"/>
    <w:rsid w:val="04A3225D"/>
    <w:rsid w:val="04C757EA"/>
    <w:rsid w:val="0572068E"/>
    <w:rsid w:val="08D37575"/>
    <w:rsid w:val="08E31E07"/>
    <w:rsid w:val="0ABA6440"/>
    <w:rsid w:val="0CB47677"/>
    <w:rsid w:val="0DF512CB"/>
    <w:rsid w:val="0E0A652E"/>
    <w:rsid w:val="1030569B"/>
    <w:rsid w:val="113B791C"/>
    <w:rsid w:val="11487371"/>
    <w:rsid w:val="115B43F5"/>
    <w:rsid w:val="12464171"/>
    <w:rsid w:val="12B46248"/>
    <w:rsid w:val="133D5C28"/>
    <w:rsid w:val="1382017C"/>
    <w:rsid w:val="145879BF"/>
    <w:rsid w:val="157673C3"/>
    <w:rsid w:val="17326CC7"/>
    <w:rsid w:val="17470C86"/>
    <w:rsid w:val="19226085"/>
    <w:rsid w:val="19933C05"/>
    <w:rsid w:val="1A927EBB"/>
    <w:rsid w:val="1B013602"/>
    <w:rsid w:val="1B196CCD"/>
    <w:rsid w:val="1B4B6D8B"/>
    <w:rsid w:val="1B844147"/>
    <w:rsid w:val="1CD72FFE"/>
    <w:rsid w:val="1CF15006"/>
    <w:rsid w:val="1D582E4B"/>
    <w:rsid w:val="1D75236F"/>
    <w:rsid w:val="1D882AF3"/>
    <w:rsid w:val="1E246A8A"/>
    <w:rsid w:val="1E5A0DC2"/>
    <w:rsid w:val="1F9D6BFF"/>
    <w:rsid w:val="21803B81"/>
    <w:rsid w:val="22137C5E"/>
    <w:rsid w:val="23F66766"/>
    <w:rsid w:val="25355679"/>
    <w:rsid w:val="25476542"/>
    <w:rsid w:val="255859ED"/>
    <w:rsid w:val="2578713B"/>
    <w:rsid w:val="264A712D"/>
    <w:rsid w:val="278D06D7"/>
    <w:rsid w:val="285D02CF"/>
    <w:rsid w:val="2A5707FA"/>
    <w:rsid w:val="2AFB7018"/>
    <w:rsid w:val="2C595230"/>
    <w:rsid w:val="2E3D1A92"/>
    <w:rsid w:val="2E9C3E32"/>
    <w:rsid w:val="2F0527C0"/>
    <w:rsid w:val="2FA57DEE"/>
    <w:rsid w:val="2FB03F34"/>
    <w:rsid w:val="31441F91"/>
    <w:rsid w:val="31627E4E"/>
    <w:rsid w:val="32AA7EE1"/>
    <w:rsid w:val="32E507BF"/>
    <w:rsid w:val="33CF3FF6"/>
    <w:rsid w:val="33F47290"/>
    <w:rsid w:val="34992D57"/>
    <w:rsid w:val="350D30E5"/>
    <w:rsid w:val="36A273C1"/>
    <w:rsid w:val="37633841"/>
    <w:rsid w:val="37B5435F"/>
    <w:rsid w:val="38B664A4"/>
    <w:rsid w:val="38EA002D"/>
    <w:rsid w:val="39462FA5"/>
    <w:rsid w:val="39E10ACC"/>
    <w:rsid w:val="3A5310B2"/>
    <w:rsid w:val="3A931D2F"/>
    <w:rsid w:val="3B746E00"/>
    <w:rsid w:val="3B7912EF"/>
    <w:rsid w:val="3C132262"/>
    <w:rsid w:val="3D110915"/>
    <w:rsid w:val="3D2B0A29"/>
    <w:rsid w:val="3ED36AA1"/>
    <w:rsid w:val="3F0A4E41"/>
    <w:rsid w:val="3F3A6166"/>
    <w:rsid w:val="3FDD755C"/>
    <w:rsid w:val="406747AA"/>
    <w:rsid w:val="40D8702A"/>
    <w:rsid w:val="419C53B1"/>
    <w:rsid w:val="41D74EF1"/>
    <w:rsid w:val="42F5244B"/>
    <w:rsid w:val="431F046F"/>
    <w:rsid w:val="434C133A"/>
    <w:rsid w:val="44994ADC"/>
    <w:rsid w:val="45A01E0E"/>
    <w:rsid w:val="45B75EDC"/>
    <w:rsid w:val="464C40B9"/>
    <w:rsid w:val="476161A9"/>
    <w:rsid w:val="479A5A28"/>
    <w:rsid w:val="47E0738E"/>
    <w:rsid w:val="49E90701"/>
    <w:rsid w:val="4B38651B"/>
    <w:rsid w:val="4C327E6B"/>
    <w:rsid w:val="4CBA014A"/>
    <w:rsid w:val="4CEA59FF"/>
    <w:rsid w:val="4D517715"/>
    <w:rsid w:val="4D9A2433"/>
    <w:rsid w:val="4ECF599F"/>
    <w:rsid w:val="4FC42BBC"/>
    <w:rsid w:val="50701BDE"/>
    <w:rsid w:val="51090892"/>
    <w:rsid w:val="51237DEB"/>
    <w:rsid w:val="51BC5502"/>
    <w:rsid w:val="53511A96"/>
    <w:rsid w:val="54115645"/>
    <w:rsid w:val="54557227"/>
    <w:rsid w:val="5470177D"/>
    <w:rsid w:val="54AF587A"/>
    <w:rsid w:val="54F90BB1"/>
    <w:rsid w:val="55536F2A"/>
    <w:rsid w:val="572538EA"/>
    <w:rsid w:val="579A354E"/>
    <w:rsid w:val="581F67D2"/>
    <w:rsid w:val="58506D47"/>
    <w:rsid w:val="585626DD"/>
    <w:rsid w:val="58E444BE"/>
    <w:rsid w:val="597877EA"/>
    <w:rsid w:val="59C84BF8"/>
    <w:rsid w:val="5ADB5E4D"/>
    <w:rsid w:val="5B231454"/>
    <w:rsid w:val="5CF321ED"/>
    <w:rsid w:val="5D312E3C"/>
    <w:rsid w:val="5DB1715B"/>
    <w:rsid w:val="5E094084"/>
    <w:rsid w:val="5E531943"/>
    <w:rsid w:val="5EE728CC"/>
    <w:rsid w:val="5F53690F"/>
    <w:rsid w:val="5F591B49"/>
    <w:rsid w:val="5F82688B"/>
    <w:rsid w:val="5F8312CE"/>
    <w:rsid w:val="605617EB"/>
    <w:rsid w:val="606D215D"/>
    <w:rsid w:val="625161AB"/>
    <w:rsid w:val="62E1047C"/>
    <w:rsid w:val="636B19A0"/>
    <w:rsid w:val="63713CF1"/>
    <w:rsid w:val="641209A9"/>
    <w:rsid w:val="64917C1B"/>
    <w:rsid w:val="649E2A14"/>
    <w:rsid w:val="64AA0DAE"/>
    <w:rsid w:val="659E6F5F"/>
    <w:rsid w:val="65E47C24"/>
    <w:rsid w:val="66830F3C"/>
    <w:rsid w:val="6794290F"/>
    <w:rsid w:val="686C0B19"/>
    <w:rsid w:val="68991B87"/>
    <w:rsid w:val="6AA3781D"/>
    <w:rsid w:val="6AD27DCC"/>
    <w:rsid w:val="6BDB11DA"/>
    <w:rsid w:val="6BF04C1C"/>
    <w:rsid w:val="6CD82B02"/>
    <w:rsid w:val="6E31552A"/>
    <w:rsid w:val="6F69351F"/>
    <w:rsid w:val="6FCE0077"/>
    <w:rsid w:val="6FE37222"/>
    <w:rsid w:val="71593914"/>
    <w:rsid w:val="735C62CC"/>
    <w:rsid w:val="737F406D"/>
    <w:rsid w:val="748149AB"/>
    <w:rsid w:val="76A06060"/>
    <w:rsid w:val="78C9131D"/>
    <w:rsid w:val="799E5F5D"/>
    <w:rsid w:val="7BD373C1"/>
    <w:rsid w:val="7C64780B"/>
    <w:rsid w:val="7D557A62"/>
    <w:rsid w:val="7DB24BAB"/>
    <w:rsid w:val="7E4131C7"/>
    <w:rsid w:val="7E431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customStyle="1" w:styleId="5">
    <w:name w:val="List Paragraph1"/>
    <w:basedOn w:val="1"/>
    <w:qFormat/>
    <w:uiPriority w:val="99"/>
    <w:pPr>
      <w:ind w:firstLine="420" w:firstLineChars="200"/>
    </w:pPr>
  </w:style>
  <w:style w:type="character" w:customStyle="1" w:styleId="6">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7">
    <w:name w:val="TableOfAuthoring"/>
    <w:basedOn w:val="1"/>
    <w:next w:val="1"/>
    <w:semiHidden/>
    <w:qFormat/>
    <w:uiPriority w:val="0"/>
    <w:pPr>
      <w:ind w:left="420" w:leftChars="2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2020-09-10T00:14:00Z</dcterms:created>
  <dc:creator>阳光灿烂</dc:creator>
  <cp:lastModifiedBy>Administrator</cp:lastModifiedBy>
  <dcterms:modified xsi:type="dcterms:W3CDTF">2021-06-22T01:40:13Z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