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1760" w:firstLineChars="400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年部门预算编制情况说明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ascii="黑体" w:eastAsia="黑体" w:cs="方正小标宋简体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根据《中华人民共和国预算法》的有关规定及市人大常委会关于做好20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年部门预算编制的要求，结合我市财政制度改革的需要，现将20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年部门预算编制情况说明如下：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20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年纳入部门预算的单位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163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个，其中：行政单位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54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个，参公单位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个，事业单位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100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个，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eastAsia="zh-CN"/>
        </w:rPr>
        <w:t>增加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1个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eastAsia="zh-CN"/>
        </w:rPr>
        <w:t>单位是：永济医疗集团。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在职人数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9803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人，其中：行政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1144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人，事业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8659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在校学生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36986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color w:val="000000"/>
          <w:kern w:val="0"/>
          <w:sz w:val="30"/>
          <w:szCs w:val="30"/>
        </w:rPr>
        <w:t>二、收支预算情况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纳入预算管理的收入预算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/>
        </w:rPr>
        <w:t>263222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万元，其中：财政拨款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/>
        </w:rPr>
        <w:t>239097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万元，纳入专户管理的事业资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金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810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万元，纳入预算管理的政府性基金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19454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万元，其他各项收入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23316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支出预算安排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/>
        </w:rPr>
        <w:t>263222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1、财政拨款支出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/>
        </w:rPr>
        <w:t>239097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万元。其中：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工资福利支出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91495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万元，对个人和家庭的补助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3702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eastAsia="zh-CN"/>
        </w:rPr>
        <w:t>，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商品和服务支出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17752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万元，项目支出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150273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万元。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2、纳入专户管理的事业资金安排的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支出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810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万元。其中：工资福利支出0万元，对个人和家庭补助0万元，商品和服务支出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663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万元，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eastAsia="zh-CN"/>
        </w:rPr>
        <w:t>资本性支出（一）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147万元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3、纳入预算管理的政府性基金安排的支出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/>
        </w:rPr>
        <w:t>19454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4、其他各项收入安排的支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出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>23316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</w:rPr>
        <w:t>万元。</w:t>
      </w:r>
    </w:p>
    <w:p/>
    <w:sectPr>
      <w:headerReference r:id="rId3" w:type="default"/>
      <w:footerReference r:id="rId4" w:type="default"/>
      <w:pgSz w:w="11907" w:h="16839"/>
      <w:pgMar w:top="1984" w:right="1531" w:bottom="1587" w:left="1531" w:header="567" w:footer="1417" w:gutter="0"/>
      <w:cols w:space="36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AA5"/>
    <w:rsid w:val="00172C46"/>
    <w:rsid w:val="001C61BA"/>
    <w:rsid w:val="00254CB6"/>
    <w:rsid w:val="002B0E91"/>
    <w:rsid w:val="00344091"/>
    <w:rsid w:val="003C0D8E"/>
    <w:rsid w:val="003C6854"/>
    <w:rsid w:val="004E52D6"/>
    <w:rsid w:val="00635351"/>
    <w:rsid w:val="00666968"/>
    <w:rsid w:val="0067484D"/>
    <w:rsid w:val="00702A5D"/>
    <w:rsid w:val="00742AA5"/>
    <w:rsid w:val="007809D3"/>
    <w:rsid w:val="00831206"/>
    <w:rsid w:val="00872E05"/>
    <w:rsid w:val="009213DA"/>
    <w:rsid w:val="00B81CFE"/>
    <w:rsid w:val="00CF3D58"/>
    <w:rsid w:val="00D17C34"/>
    <w:rsid w:val="00D46211"/>
    <w:rsid w:val="00E71628"/>
    <w:rsid w:val="00EA172C"/>
    <w:rsid w:val="00EA632E"/>
    <w:rsid w:val="00F46499"/>
    <w:rsid w:val="12B90E63"/>
    <w:rsid w:val="18D83AAC"/>
    <w:rsid w:val="2BDA1609"/>
    <w:rsid w:val="2DC96806"/>
    <w:rsid w:val="2F751B8B"/>
    <w:rsid w:val="39D17828"/>
    <w:rsid w:val="42D072F9"/>
    <w:rsid w:val="44915538"/>
    <w:rsid w:val="47CF0A18"/>
    <w:rsid w:val="4AF476A0"/>
    <w:rsid w:val="503E7457"/>
    <w:rsid w:val="50A51CA7"/>
    <w:rsid w:val="5AFE668A"/>
    <w:rsid w:val="5E807C3F"/>
    <w:rsid w:val="630D7BA6"/>
    <w:rsid w:val="716D2B42"/>
    <w:rsid w:val="730C5C10"/>
    <w:rsid w:val="751E75C2"/>
    <w:rsid w:val="752549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2017-03-17T09:03:00Z</dcterms:created>
  <dc:creator>Administrator.JINCHENG</dc:creator>
  <cp:lastModifiedBy>Administrator</cp:lastModifiedBy>
  <dcterms:modified xsi:type="dcterms:W3CDTF">2021-04-02T12:43:21Z</dcterms:modified>
  <dc:title>2016年部门预算编制情况说明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