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95" w:lineRule="atLeast"/>
        <w:ind w:firstLine="1760" w:firstLineChars="4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部门</w:t>
      </w:r>
      <w:r>
        <w:rPr>
          <w:rFonts w:hint="eastAsia" w:ascii="黑体" w:hAnsi="黑体" w:eastAsia="黑体" w:cs="黑体"/>
          <w:sz w:val="44"/>
          <w:szCs w:val="44"/>
        </w:rPr>
        <w:t>预算公开目录</w:t>
      </w:r>
    </w:p>
    <w:p>
      <w:pPr>
        <w:rPr>
          <w:rFonts w:ascii="仿宋_GB2312" w:eastAsia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部门主要职责及机构设置情况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本级预算情况（详见部门预算公开说明）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预算收支增减变化情况说明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机关运行经费安排情况说明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政府采购安排情况说明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对专业性较强的名词进行解释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国有资产占用情况说明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8、“三公”经费增减变化原因说明信息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>重点项目预算的绩效目标情况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（详见部门预算公开说明）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收支总表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收入总表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支出总表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28"/>
          <w:szCs w:val="28"/>
        </w:rPr>
        <w:t>财政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收支总表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28"/>
          <w:szCs w:val="28"/>
        </w:rPr>
        <w:t>一般公共预算支出表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28"/>
          <w:szCs w:val="28"/>
        </w:rPr>
        <w:t>一般公共预算基本支出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经济分类</w:t>
      </w:r>
      <w:r>
        <w:rPr>
          <w:rFonts w:hint="eastAsia" w:ascii="仿宋_GB2312" w:hAnsi="仿宋_GB2312" w:eastAsia="仿宋_GB2312" w:cs="仿宋_GB2312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16、政府性基金预算收入表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17、政府性基金预算支出表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sz w:val="28"/>
          <w:szCs w:val="28"/>
        </w:rPr>
        <w:t>一般公共预算“三公”经费支出表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19、机关运行经费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20、政府采购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21、行政事业单位新增资产预算表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（详见单位信息公开表）</w:t>
      </w:r>
    </w:p>
    <w:p>
      <w:pPr>
        <w:pStyle w:val="2"/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65AD7"/>
    <w:rsid w:val="14965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2020-05-20T07:02:00Z</dcterms:created>
  <dc:creator>lenovo</dc:creator>
  <cp:lastModifiedBy>lenovo</cp:lastModifiedBy>
  <dcterms:modified xsi:type="dcterms:W3CDTF">2020-05-20T07:19:34Z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